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DE57" w14:textId="77777777" w:rsidR="00663A90" w:rsidRPr="00147935" w:rsidRDefault="00663A90" w:rsidP="00147935">
      <w:pPr>
        <w:pStyle w:val="Heading1"/>
        <w:rPr>
          <w:sz w:val="22"/>
        </w:rPr>
      </w:pPr>
    </w:p>
    <w:p w14:paraId="2B42B7E7" w14:textId="77777777" w:rsidR="00663A90" w:rsidRPr="00147935" w:rsidRDefault="00663A90" w:rsidP="00147935">
      <w:pPr>
        <w:pStyle w:val="Heading1"/>
        <w:rPr>
          <w:sz w:val="22"/>
        </w:rPr>
      </w:pPr>
      <w:r w:rsidRPr="00147935">
        <w:rPr>
          <w:sz w:val="22"/>
        </w:rPr>
        <w:t>POLICY PRACTICE AND RESEARCH COMMITTEE</w:t>
      </w:r>
    </w:p>
    <w:p w14:paraId="3995DBFB" w14:textId="77777777" w:rsidR="00663A90" w:rsidRPr="00147935" w:rsidRDefault="00663A90" w:rsidP="00BF1615">
      <w:pPr>
        <w:tabs>
          <w:tab w:val="left" w:pos="1260"/>
        </w:tabs>
        <w:spacing w:after="0"/>
        <w:ind w:left="1260" w:hanging="1260"/>
        <w:rPr>
          <w:rFonts w:cs="Arial"/>
        </w:rPr>
      </w:pPr>
    </w:p>
    <w:p w14:paraId="4524F577" w14:textId="6DC36B16" w:rsidR="00663A90" w:rsidRPr="00147935" w:rsidRDefault="00663A90" w:rsidP="00BF1615">
      <w:pPr>
        <w:tabs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cs="Arial"/>
          <w:b/>
          <w:bCs/>
        </w:rPr>
        <w:t>NON-CONFIDENTIAL MINUTES</w:t>
      </w:r>
      <w:r w:rsidRPr="00147935">
        <w:rPr>
          <w:rFonts w:cs="Arial"/>
        </w:rPr>
        <w:t xml:space="preserve"> of a meeting of the Policy Practice and Research Committee held </w:t>
      </w:r>
      <w:r w:rsidR="00FF0FCF" w:rsidRPr="00147935">
        <w:rPr>
          <w:rFonts w:cs="Arial"/>
        </w:rPr>
        <w:t xml:space="preserve">2pm-4pm </w:t>
      </w:r>
      <w:r w:rsidRPr="00147935">
        <w:rPr>
          <w:rFonts w:cs="Arial"/>
        </w:rPr>
        <w:t xml:space="preserve">on 8 March 2023 via online conferencing </w:t>
      </w:r>
    </w:p>
    <w:p w14:paraId="35E9A26F" w14:textId="77777777" w:rsidR="00663A90" w:rsidRPr="00147935" w:rsidRDefault="00663A90" w:rsidP="00BF1615">
      <w:pPr>
        <w:tabs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cs="Arial"/>
        </w:rPr>
        <w:t xml:space="preserve"> </w:t>
      </w:r>
    </w:p>
    <w:p w14:paraId="409C8028" w14:textId="77777777" w:rsidR="00EA47C7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cs="Arial"/>
          <w:b/>
          <w:bCs/>
        </w:rPr>
        <w:t>PRESENT</w:t>
      </w:r>
      <w:r w:rsidRPr="00147935">
        <w:rPr>
          <w:rFonts w:cs="Arial"/>
        </w:rPr>
        <w:t>:</w:t>
      </w:r>
      <w:r w:rsidR="00791207" w:rsidRPr="00147935">
        <w:rPr>
          <w:rFonts w:cs="Arial"/>
        </w:rPr>
        <w:t xml:space="preserve"> </w:t>
      </w:r>
    </w:p>
    <w:p w14:paraId="2660E84E" w14:textId="77777777" w:rsidR="00EA47C7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eastAsiaTheme="minorHAnsi" w:cs="Arial"/>
        </w:rPr>
      </w:pPr>
      <w:r w:rsidRPr="00147935">
        <w:rPr>
          <w:rFonts w:eastAsiaTheme="minorHAnsi" w:cs="Arial"/>
        </w:rPr>
        <w:t>Janet Askew (Chair) JA</w:t>
      </w:r>
      <w:r w:rsidR="00791207" w:rsidRPr="00147935">
        <w:rPr>
          <w:rFonts w:eastAsiaTheme="minorHAnsi" w:cs="Arial"/>
        </w:rPr>
        <w:t xml:space="preserve">, </w:t>
      </w:r>
    </w:p>
    <w:p w14:paraId="34928285" w14:textId="77777777" w:rsidR="00EA47C7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eastAsiaTheme="minorHAnsi" w:cs="Arial"/>
        </w:rPr>
        <w:t>Hannah Northrop</w:t>
      </w:r>
      <w:r w:rsidR="005824E8" w:rsidRPr="00147935">
        <w:rPr>
          <w:rFonts w:eastAsiaTheme="minorHAnsi" w:cs="Arial"/>
        </w:rPr>
        <w:t xml:space="preserve"> (HN)</w:t>
      </w:r>
      <w:r w:rsidR="00791207" w:rsidRPr="00147935">
        <w:rPr>
          <w:rFonts w:cs="Arial"/>
        </w:rPr>
        <w:t>,</w:t>
      </w:r>
      <w:r w:rsidR="00EA47C7" w:rsidRPr="00147935">
        <w:rPr>
          <w:rFonts w:cs="Arial"/>
        </w:rPr>
        <w:t xml:space="preserve"> Planning Schools Forum</w:t>
      </w:r>
    </w:p>
    <w:p w14:paraId="483CA312" w14:textId="5FDF7920" w:rsidR="00EA47C7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eastAsiaTheme="minorHAnsi" w:cs="Arial"/>
        </w:rPr>
        <w:t>Chris Clarke</w:t>
      </w:r>
      <w:r w:rsidR="005824E8" w:rsidRPr="00147935">
        <w:rPr>
          <w:rFonts w:eastAsiaTheme="minorHAnsi" w:cs="Arial"/>
        </w:rPr>
        <w:t xml:space="preserve"> (CC)</w:t>
      </w:r>
      <w:r w:rsidR="00791207" w:rsidRPr="00147935">
        <w:rPr>
          <w:rFonts w:cs="Arial"/>
        </w:rPr>
        <w:t>,</w:t>
      </w:r>
      <w:r w:rsidR="00EA47C7" w:rsidRPr="00147935">
        <w:rPr>
          <w:rFonts w:cs="Arial"/>
        </w:rPr>
        <w:t xml:space="preserve"> RTPI Cymru</w:t>
      </w:r>
    </w:p>
    <w:p w14:paraId="6B09913D" w14:textId="19D34D44" w:rsidR="00EA47C7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eastAsiaTheme="minorHAnsi" w:cs="Arial"/>
        </w:rPr>
        <w:t>Debabardhan Upadhyaya</w:t>
      </w:r>
      <w:r w:rsidR="005824E8" w:rsidRPr="00147935">
        <w:rPr>
          <w:rFonts w:eastAsiaTheme="minorHAnsi" w:cs="Arial"/>
        </w:rPr>
        <w:t xml:space="preserve"> (DU)</w:t>
      </w:r>
      <w:r w:rsidR="00EA47C7" w:rsidRPr="00147935">
        <w:rPr>
          <w:rFonts w:eastAsiaTheme="minorHAnsi" w:cs="Arial"/>
        </w:rPr>
        <w:t xml:space="preserve"> Practitioner</w:t>
      </w:r>
    </w:p>
    <w:p w14:paraId="69EEB2C6" w14:textId="502DDEC0" w:rsidR="00EA47C7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eastAsiaTheme="minorHAnsi" w:cs="Arial"/>
        </w:rPr>
      </w:pPr>
      <w:r w:rsidRPr="00147935">
        <w:rPr>
          <w:rFonts w:eastAsiaTheme="minorHAnsi" w:cs="Arial"/>
        </w:rPr>
        <w:t>Lisa Curran</w:t>
      </w:r>
      <w:r w:rsidR="005824E8" w:rsidRPr="00147935">
        <w:rPr>
          <w:rFonts w:eastAsiaTheme="minorHAnsi" w:cs="Arial"/>
        </w:rPr>
        <w:t xml:space="preserve"> (LC)</w:t>
      </w:r>
      <w:r w:rsidR="00EA47C7" w:rsidRPr="00147935">
        <w:rPr>
          <w:rFonts w:eastAsiaTheme="minorHAnsi" w:cs="Arial"/>
        </w:rPr>
        <w:t xml:space="preserve"> RTPI Northern Ireland</w:t>
      </w:r>
    </w:p>
    <w:p w14:paraId="6CCDCB28" w14:textId="7E338B60" w:rsidR="00EA47C7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eastAsiaTheme="minorHAnsi" w:cs="Arial"/>
        </w:rPr>
        <w:t>Gavin Parker</w:t>
      </w:r>
      <w:r w:rsidR="005824E8" w:rsidRPr="00147935">
        <w:rPr>
          <w:rFonts w:eastAsiaTheme="minorHAnsi" w:cs="Arial"/>
        </w:rPr>
        <w:t xml:space="preserve"> (GP)</w:t>
      </w:r>
      <w:r w:rsidR="00791207" w:rsidRPr="00147935">
        <w:rPr>
          <w:rFonts w:cs="Arial"/>
        </w:rPr>
        <w:t xml:space="preserve"> </w:t>
      </w:r>
      <w:r w:rsidR="00EA47C7" w:rsidRPr="00147935">
        <w:rPr>
          <w:rFonts w:cs="Arial"/>
        </w:rPr>
        <w:t>ELL Committee</w:t>
      </w:r>
    </w:p>
    <w:p w14:paraId="75645B86" w14:textId="5B538776" w:rsidR="00EA47C7" w:rsidRPr="00147935" w:rsidRDefault="00EA47C7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  <w:r w:rsidRPr="00147935">
        <w:rPr>
          <w:rFonts w:cs="Arial"/>
        </w:rPr>
        <w:t>Geoff Payne International Committe</w:t>
      </w:r>
    </w:p>
    <w:p w14:paraId="00730277" w14:textId="77777777" w:rsidR="000F60EB" w:rsidRPr="00147935" w:rsidRDefault="000F60EB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</w:p>
    <w:p w14:paraId="1B3DB4C8" w14:textId="0149F4D4" w:rsidR="00172559" w:rsidRPr="00147935" w:rsidRDefault="000F60EB" w:rsidP="00BF1615">
      <w:pPr>
        <w:spacing w:after="160"/>
        <w:contextualSpacing/>
        <w:rPr>
          <w:rFonts w:eastAsiaTheme="minorHAnsi" w:cs="Arial"/>
          <w:b/>
          <w:bCs/>
        </w:rPr>
      </w:pPr>
      <w:r w:rsidRPr="00147935">
        <w:rPr>
          <w:rFonts w:eastAsiaTheme="minorHAnsi" w:cs="Arial"/>
          <w:b/>
          <w:bCs/>
        </w:rPr>
        <w:t>IN ATTENDANCE</w:t>
      </w:r>
      <w:r w:rsidR="00791207" w:rsidRPr="00147935">
        <w:rPr>
          <w:rFonts w:eastAsiaTheme="minorHAnsi" w:cs="Arial"/>
          <w:b/>
          <w:bCs/>
        </w:rPr>
        <w:t xml:space="preserve">: </w:t>
      </w:r>
      <w:r w:rsidR="00663A90" w:rsidRPr="00147935">
        <w:rPr>
          <w:rFonts w:eastAsiaTheme="minorHAnsi" w:cs="Arial"/>
        </w:rPr>
        <w:t>Richard Blyth</w:t>
      </w:r>
      <w:r w:rsidR="00791207" w:rsidRPr="00147935">
        <w:rPr>
          <w:rFonts w:eastAsiaTheme="minorHAnsi" w:cs="Arial"/>
        </w:rPr>
        <w:t xml:space="preserve"> </w:t>
      </w:r>
      <w:r w:rsidR="00663A90" w:rsidRPr="00147935">
        <w:rPr>
          <w:rFonts w:eastAsiaTheme="minorHAnsi" w:cs="Arial"/>
        </w:rPr>
        <w:t>(Head of Policy, Practice &amp; Research) RB</w:t>
      </w:r>
      <w:r w:rsidR="00791207" w:rsidRPr="00147935">
        <w:rPr>
          <w:rFonts w:eastAsiaTheme="minorHAnsi" w:cs="Arial"/>
          <w:b/>
          <w:bCs/>
        </w:rPr>
        <w:t xml:space="preserve">. </w:t>
      </w:r>
      <w:r w:rsidR="00663A90" w:rsidRPr="00147935">
        <w:rPr>
          <w:rFonts w:eastAsiaTheme="minorHAnsi" w:cs="Arial"/>
        </w:rPr>
        <w:t>Jenny Divine (Research Officer) JD</w:t>
      </w:r>
      <w:r w:rsidR="00791207" w:rsidRPr="00147935">
        <w:rPr>
          <w:rFonts w:eastAsiaTheme="minorHAnsi" w:cs="Arial"/>
          <w:b/>
          <w:bCs/>
        </w:rPr>
        <w:t xml:space="preserve">, </w:t>
      </w:r>
      <w:r w:rsidR="00B17F14" w:rsidRPr="00147935">
        <w:rPr>
          <w:rFonts w:eastAsiaTheme="minorHAnsi" w:cs="Arial"/>
        </w:rPr>
        <w:t>Beatrice Crabb</w:t>
      </w:r>
      <w:r w:rsidR="00791207" w:rsidRPr="00147935">
        <w:rPr>
          <w:rFonts w:eastAsiaTheme="minorHAnsi" w:cs="Arial"/>
        </w:rPr>
        <w:t xml:space="preserve"> </w:t>
      </w:r>
      <w:r w:rsidR="00B17F14" w:rsidRPr="00147935">
        <w:rPr>
          <w:rFonts w:eastAsiaTheme="minorHAnsi" w:cs="Arial"/>
        </w:rPr>
        <w:t>(BC)</w:t>
      </w:r>
      <w:r w:rsidR="00D824C0" w:rsidRPr="00147935">
        <w:rPr>
          <w:rFonts w:eastAsiaTheme="minorHAnsi" w:cs="Arial"/>
        </w:rPr>
        <w:t>, (International Lead)</w:t>
      </w:r>
      <w:r w:rsidR="00791207" w:rsidRPr="00147935">
        <w:rPr>
          <w:rFonts w:eastAsiaTheme="minorHAnsi" w:cs="Arial"/>
          <w:b/>
          <w:bCs/>
        </w:rPr>
        <w:t xml:space="preserve">, </w:t>
      </w:r>
      <w:r w:rsidR="00172559" w:rsidRPr="00147935">
        <w:rPr>
          <w:rFonts w:eastAsiaTheme="minorHAnsi" w:cs="Arial"/>
        </w:rPr>
        <w:t>Daniel Slade (DS)</w:t>
      </w:r>
      <w:r w:rsidR="00CB189B" w:rsidRPr="00147935">
        <w:rPr>
          <w:rFonts w:eastAsiaTheme="minorHAnsi" w:cs="Arial"/>
        </w:rPr>
        <w:t xml:space="preserve"> Policy Manager</w:t>
      </w:r>
      <w:r w:rsidR="00EA47C7" w:rsidRPr="00147935">
        <w:rPr>
          <w:rFonts w:eastAsiaTheme="minorHAnsi" w:cs="Arial"/>
        </w:rPr>
        <w:t xml:space="preserve">, </w:t>
      </w:r>
      <w:r w:rsidR="004C02F2" w:rsidRPr="00147935">
        <w:rPr>
          <w:rFonts w:eastAsiaTheme="minorHAnsi" w:cs="Arial"/>
        </w:rPr>
        <w:t>Robert Calvert (RC)</w:t>
      </w:r>
      <w:r w:rsidR="008714D6" w:rsidRPr="00147935">
        <w:rPr>
          <w:rFonts w:eastAsiaTheme="minorHAnsi" w:cs="Arial"/>
        </w:rPr>
        <w:t xml:space="preserve"> </w:t>
      </w:r>
      <w:r w:rsidR="00EA47C7" w:rsidRPr="00147935">
        <w:rPr>
          <w:rFonts w:eastAsiaTheme="minorHAnsi" w:cs="Arial"/>
        </w:rPr>
        <w:t xml:space="preserve">Scotland </w:t>
      </w:r>
      <w:r w:rsidR="008714D6" w:rsidRPr="00147935">
        <w:rPr>
          <w:rFonts w:eastAsiaTheme="minorHAnsi" w:cs="Arial"/>
        </w:rPr>
        <w:t>Policy, Practice and Research Officer</w:t>
      </w:r>
      <w:r w:rsidR="00EA47C7" w:rsidRPr="00147935">
        <w:rPr>
          <w:rFonts w:eastAsiaTheme="minorHAnsi" w:cs="Arial"/>
        </w:rPr>
        <w:t>, Rhian Brimble (RTPI Cymru Policy Officer)</w:t>
      </w:r>
    </w:p>
    <w:p w14:paraId="0917C544" w14:textId="77777777" w:rsidR="004C02F2" w:rsidRPr="00147935" w:rsidRDefault="004C02F2" w:rsidP="00BF1615">
      <w:pPr>
        <w:spacing w:after="160"/>
        <w:contextualSpacing/>
        <w:rPr>
          <w:rFonts w:eastAsiaTheme="minorHAnsi" w:cs="Arial"/>
        </w:rPr>
      </w:pPr>
    </w:p>
    <w:p w14:paraId="6E1A8CD5" w14:textId="2349E96E" w:rsidR="00663A90" w:rsidRPr="00147935" w:rsidRDefault="00663A90" w:rsidP="00BF1615">
      <w:pPr>
        <w:tabs>
          <w:tab w:val="left" w:pos="1080"/>
          <w:tab w:val="left" w:pos="1260"/>
        </w:tabs>
        <w:spacing w:after="0"/>
        <w:rPr>
          <w:rFonts w:cs="Arial"/>
        </w:rPr>
      </w:pPr>
      <w:r w:rsidRPr="00147935">
        <w:rPr>
          <w:rFonts w:cs="Arial"/>
          <w:b/>
          <w:bCs/>
        </w:rPr>
        <w:t>APOLOGIES</w:t>
      </w:r>
      <w:r w:rsidRPr="00147935">
        <w:rPr>
          <w:rFonts w:cs="Arial"/>
        </w:rPr>
        <w:t>:</w:t>
      </w:r>
      <w:r w:rsidR="00791207" w:rsidRPr="00147935">
        <w:rPr>
          <w:rFonts w:cs="Arial"/>
        </w:rPr>
        <w:t xml:space="preserve"> </w:t>
      </w:r>
      <w:r w:rsidR="009865B1" w:rsidRPr="00147935">
        <w:rPr>
          <w:rFonts w:eastAsiaTheme="minorHAnsi" w:cs="Arial"/>
        </w:rPr>
        <w:t>Stefano Smith (Vice Chair) SS</w:t>
      </w:r>
    </w:p>
    <w:p w14:paraId="71B6783D" w14:textId="77777777" w:rsidR="003B5B4A" w:rsidRPr="00147935" w:rsidRDefault="003B5B4A" w:rsidP="00BF1615">
      <w:pPr>
        <w:tabs>
          <w:tab w:val="left" w:pos="1080"/>
          <w:tab w:val="left" w:pos="1260"/>
        </w:tabs>
        <w:spacing w:after="0"/>
        <w:jc w:val="both"/>
        <w:rPr>
          <w:rFonts w:eastAsiaTheme="minorHAnsi" w:cs="Arial"/>
        </w:rPr>
      </w:pPr>
    </w:p>
    <w:p w14:paraId="2B12A765" w14:textId="25D045AB" w:rsidR="00791207" w:rsidRPr="00147935" w:rsidRDefault="003B5B4A" w:rsidP="00BF1615">
      <w:pPr>
        <w:tabs>
          <w:tab w:val="left" w:pos="1080"/>
          <w:tab w:val="left" w:pos="1260"/>
        </w:tabs>
        <w:spacing w:after="0"/>
        <w:jc w:val="both"/>
        <w:rPr>
          <w:rFonts w:eastAsiaTheme="minorHAnsi" w:cs="Arial"/>
        </w:rPr>
      </w:pPr>
      <w:r w:rsidRPr="00147935">
        <w:rPr>
          <w:rFonts w:eastAsiaTheme="minorHAnsi" w:cs="Arial"/>
          <w:b/>
          <w:bCs/>
        </w:rPr>
        <w:t>MINUTE TAKER</w:t>
      </w:r>
      <w:r w:rsidRPr="00147935">
        <w:rPr>
          <w:rFonts w:eastAsiaTheme="minorHAnsi" w:cs="Arial"/>
        </w:rPr>
        <w:t>: Lizzy Millar</w:t>
      </w:r>
      <w:r w:rsidR="00791207" w:rsidRPr="00147935">
        <w:rPr>
          <w:rFonts w:eastAsiaTheme="minorHAnsi" w:cs="Arial"/>
        </w:rPr>
        <w:t xml:space="preserve"> (Governance and Compliance Officer)</w:t>
      </w:r>
    </w:p>
    <w:p w14:paraId="0B99AABD" w14:textId="77777777" w:rsidR="00663A90" w:rsidRPr="00147935" w:rsidRDefault="00663A90" w:rsidP="00BF1615">
      <w:pPr>
        <w:tabs>
          <w:tab w:val="left" w:pos="1080"/>
          <w:tab w:val="left" w:pos="1260"/>
        </w:tabs>
        <w:spacing w:after="0"/>
        <w:jc w:val="both"/>
        <w:rPr>
          <w:rFonts w:cs="Arial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767"/>
        <w:gridCol w:w="1021"/>
      </w:tblGrid>
      <w:tr w:rsidR="00663A90" w:rsidRPr="00147935" w14:paraId="3C01EDC3" w14:textId="77777777" w:rsidTr="007E6D3F">
        <w:tc>
          <w:tcPr>
            <w:tcW w:w="846" w:type="dxa"/>
          </w:tcPr>
          <w:p w14:paraId="2137C2BE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7767" w:type="dxa"/>
          </w:tcPr>
          <w:p w14:paraId="7336C1B2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6B1BF3B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Action</w:t>
            </w:r>
          </w:p>
        </w:tc>
      </w:tr>
      <w:tr w:rsidR="00663A90" w:rsidRPr="00147935" w14:paraId="09C52BFD" w14:textId="77777777" w:rsidTr="007E6D3F">
        <w:tc>
          <w:tcPr>
            <w:tcW w:w="846" w:type="dxa"/>
          </w:tcPr>
          <w:p w14:paraId="6BD09CFD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1</w:t>
            </w:r>
          </w:p>
          <w:p w14:paraId="155A554A" w14:textId="77777777" w:rsidR="00F454FC" w:rsidRPr="00147935" w:rsidRDefault="00F454FC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310B1594" w14:textId="058CE4AA" w:rsidR="00F454FC" w:rsidRPr="00147935" w:rsidRDefault="00F454FC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767" w:type="dxa"/>
          </w:tcPr>
          <w:p w14:paraId="11478A09" w14:textId="07AA2AAF" w:rsidR="00663A90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t>Welcome and A</w:t>
            </w:r>
            <w:r w:rsidR="00663A90" w:rsidRPr="00147935">
              <w:rPr>
                <w:rFonts w:cs="Arial"/>
                <w:b/>
                <w:sz w:val="22"/>
                <w:szCs w:val="22"/>
              </w:rPr>
              <w:t xml:space="preserve">pologies </w:t>
            </w:r>
          </w:p>
          <w:p w14:paraId="30ABD589" w14:textId="77777777" w:rsidR="00BF1615" w:rsidRPr="00147935" w:rsidRDefault="00BF1615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59F92D84" w14:textId="29E77CCF" w:rsidR="00663A90" w:rsidRPr="00147935" w:rsidRDefault="000E581E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The Chair welcomed all attendees to t</w:t>
            </w:r>
            <w:r w:rsidR="00CB3D5F" w:rsidRPr="00147935">
              <w:rPr>
                <w:rFonts w:cs="Arial"/>
                <w:sz w:val="22"/>
                <w:szCs w:val="22"/>
              </w:rPr>
              <w:t>he meeting and accepted apologies on behalf of Stefano Smith</w:t>
            </w:r>
            <w:r w:rsidR="009A5844" w:rsidRPr="00147935">
              <w:rPr>
                <w:rFonts w:cs="Arial"/>
                <w:sz w:val="22"/>
                <w:szCs w:val="22"/>
              </w:rPr>
              <w:t>,</w:t>
            </w:r>
            <w:r w:rsidR="00CB3D5F" w:rsidRPr="00147935">
              <w:rPr>
                <w:rFonts w:cs="Arial"/>
                <w:sz w:val="22"/>
                <w:szCs w:val="22"/>
              </w:rPr>
              <w:t xml:space="preserve"> the Vice Chair</w:t>
            </w:r>
            <w:r w:rsidR="005548B5" w:rsidRPr="00147935">
              <w:rPr>
                <w:rFonts w:cs="Arial"/>
                <w:sz w:val="22"/>
                <w:szCs w:val="22"/>
              </w:rPr>
              <w:t>.</w:t>
            </w:r>
          </w:p>
          <w:p w14:paraId="066A71D5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3C9DB8BE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51157C2F" w14:textId="77777777" w:rsidTr="007E6D3F">
        <w:tc>
          <w:tcPr>
            <w:tcW w:w="846" w:type="dxa"/>
          </w:tcPr>
          <w:p w14:paraId="6C355004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767" w:type="dxa"/>
          </w:tcPr>
          <w:p w14:paraId="6141EB23" w14:textId="77777777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t>Declarations of interest</w:t>
            </w:r>
          </w:p>
          <w:p w14:paraId="26BC892E" w14:textId="77777777" w:rsidR="00BF1615" w:rsidRPr="00147935" w:rsidRDefault="00BF1615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8E68411" w14:textId="4614CB00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No declarations of interest</w:t>
            </w:r>
            <w:r w:rsidR="002664EE" w:rsidRPr="00147935">
              <w:rPr>
                <w:rFonts w:cs="Arial"/>
                <w:bCs/>
                <w:sz w:val="22"/>
                <w:szCs w:val="22"/>
              </w:rPr>
              <w:t>s declared. Members were reminded to complete online declarations forms, if not already done so.</w:t>
            </w:r>
          </w:p>
          <w:p w14:paraId="5299C9A1" w14:textId="77777777" w:rsidR="00663A90" w:rsidRPr="00147935" w:rsidRDefault="00663A90" w:rsidP="00BF161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70D90804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11FF2BDD" w14:textId="77777777" w:rsidTr="007E6D3F">
        <w:tc>
          <w:tcPr>
            <w:tcW w:w="846" w:type="dxa"/>
          </w:tcPr>
          <w:p w14:paraId="404A054B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67" w:type="dxa"/>
          </w:tcPr>
          <w:p w14:paraId="65C8F765" w14:textId="4853ED54" w:rsidR="00663A90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 xml:space="preserve">Minutes of the Policy, Practice and Research Committee on </w:t>
            </w:r>
            <w:r w:rsidR="009107CC" w:rsidRPr="00147935">
              <w:rPr>
                <w:rFonts w:cs="Arial"/>
                <w:b/>
                <w:bCs/>
                <w:sz w:val="22"/>
                <w:szCs w:val="22"/>
              </w:rPr>
              <w:t>1 December</w:t>
            </w:r>
            <w:r w:rsidRPr="00147935">
              <w:rPr>
                <w:rFonts w:cs="Arial"/>
                <w:b/>
                <w:bCs/>
                <w:sz w:val="22"/>
                <w:szCs w:val="22"/>
              </w:rPr>
              <w:t xml:space="preserve"> 2022</w:t>
            </w:r>
          </w:p>
          <w:p w14:paraId="0D7113E4" w14:textId="77777777" w:rsidR="00BF1615" w:rsidRPr="00147935" w:rsidRDefault="00BF1615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68FD4EC7" w14:textId="2D3D9868" w:rsidR="00EB68EF" w:rsidRPr="00147935" w:rsidRDefault="00EB68EF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lastRenderedPageBreak/>
              <w:t xml:space="preserve">The Committee accepted the minutes on 1 December 2022 as an accurate reflection of the previous meeting apart from </w:t>
            </w:r>
            <w:r w:rsidR="00EA47C7" w:rsidRPr="00147935">
              <w:rPr>
                <w:rFonts w:cs="Arial"/>
                <w:bCs/>
                <w:sz w:val="22"/>
                <w:szCs w:val="22"/>
              </w:rPr>
              <w:t>the Item relating to the Education Policy Review</w:t>
            </w:r>
            <w:r w:rsidR="00890335" w:rsidRPr="00147935">
              <w:rPr>
                <w:rFonts w:cs="Arial"/>
                <w:bCs/>
                <w:sz w:val="22"/>
                <w:szCs w:val="22"/>
              </w:rPr>
              <w:t>.</w:t>
            </w:r>
          </w:p>
          <w:p w14:paraId="58C41696" w14:textId="77777777" w:rsidR="00EB68EF" w:rsidRPr="00147935" w:rsidRDefault="00EB68EF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2B55615" w14:textId="396C16F8" w:rsidR="00663A90" w:rsidRPr="00147935" w:rsidRDefault="002664EE" w:rsidP="00BF1615">
            <w:pPr>
              <w:spacing w:after="0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147935">
              <w:rPr>
                <w:rFonts w:eastAsia="Times New Roman" w:cs="Arial"/>
                <w:b/>
                <w:color w:val="000000"/>
                <w:sz w:val="22"/>
                <w:szCs w:val="22"/>
              </w:rPr>
              <w:t>ACTION</w:t>
            </w:r>
            <w:r w:rsidRPr="00147935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: Correct item 6 retrospectively to reflect </w:t>
            </w:r>
            <w:r w:rsidR="00A21670" w:rsidRPr="00147935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accurate position of the RTPI </w:t>
            </w:r>
            <w:r w:rsidR="00BF1615" w:rsidRPr="00147935">
              <w:rPr>
                <w:rFonts w:cs="Arial"/>
                <w:sz w:val="22"/>
                <w:szCs w:val="22"/>
              </w:rPr>
              <w:t>Policy, Practice and Research Committee</w:t>
            </w:r>
            <w:r w:rsidR="00BF1615" w:rsidRPr="0014793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A21670" w:rsidRPr="00147935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on its </w:t>
            </w:r>
            <w:r w:rsidR="00791207" w:rsidRPr="00147935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response to </w:t>
            </w:r>
            <w:r w:rsidR="00EA47C7" w:rsidRPr="00147935">
              <w:rPr>
                <w:rFonts w:eastAsia="Times New Roman" w:cs="Arial"/>
                <w:bCs/>
                <w:color w:val="000000"/>
                <w:sz w:val="22"/>
                <w:szCs w:val="22"/>
              </w:rPr>
              <w:t>the Education Policy Review</w:t>
            </w:r>
            <w:r w:rsidR="00890335" w:rsidRPr="00147935">
              <w:rPr>
                <w:rFonts w:eastAsia="Times New Roman" w:cs="Arial"/>
                <w:bCs/>
                <w:color w:val="000000"/>
                <w:sz w:val="22"/>
                <w:szCs w:val="22"/>
              </w:rPr>
              <w:t>.</w:t>
            </w:r>
          </w:p>
          <w:p w14:paraId="083D2897" w14:textId="77777777" w:rsidR="00663A90" w:rsidRPr="00147935" w:rsidRDefault="00663A90" w:rsidP="00BF1615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2D4AD54A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2AE546B6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38D66AE4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14CF7E34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2CB14A48" w14:textId="77777777" w:rsidR="002664EE" w:rsidRPr="00147935" w:rsidRDefault="002664EE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62EFCD9E" w14:textId="77777777" w:rsidR="000F2493" w:rsidRPr="00147935" w:rsidRDefault="000F2493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15ADEF8D" w14:textId="77777777" w:rsidR="00791207" w:rsidRPr="00147935" w:rsidRDefault="00791207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10A5617D" w14:textId="6D479F14" w:rsidR="002664EE" w:rsidRPr="00147935" w:rsidRDefault="002664EE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Chair</w:t>
            </w:r>
            <w:r w:rsidR="00EF1441" w:rsidRPr="00147935">
              <w:rPr>
                <w:rFonts w:cs="Arial"/>
                <w:sz w:val="22"/>
                <w:szCs w:val="22"/>
              </w:rPr>
              <w:t>. GP</w:t>
            </w:r>
            <w:r w:rsidRPr="00147935">
              <w:rPr>
                <w:rFonts w:cs="Arial"/>
                <w:sz w:val="22"/>
                <w:szCs w:val="22"/>
              </w:rPr>
              <w:t xml:space="preserve"> &amp; Committee Lead</w:t>
            </w:r>
          </w:p>
          <w:p w14:paraId="759937D0" w14:textId="1484158C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1941AB69" w14:textId="77777777" w:rsidTr="007E6D3F">
        <w:tc>
          <w:tcPr>
            <w:tcW w:w="846" w:type="dxa"/>
          </w:tcPr>
          <w:p w14:paraId="05427629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7767" w:type="dxa"/>
          </w:tcPr>
          <w:p w14:paraId="61BBB133" w14:textId="6C3BE059" w:rsidR="00663A90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t xml:space="preserve">Matters Arising from the </w:t>
            </w:r>
            <w:r w:rsidRPr="00147935">
              <w:rPr>
                <w:rFonts w:cs="Arial"/>
                <w:b/>
                <w:bCs/>
                <w:sz w:val="22"/>
                <w:szCs w:val="22"/>
              </w:rPr>
              <w:t>Minutes of the Policy, Practice and Research Committee on October 2022</w:t>
            </w:r>
          </w:p>
          <w:p w14:paraId="22953A1C" w14:textId="77777777" w:rsidR="00BF1615" w:rsidRPr="00147935" w:rsidRDefault="00BF1615" w:rsidP="00BF1615">
            <w:p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0C0A669A" w14:textId="71CDB4A4" w:rsidR="00EA47C7" w:rsidRPr="00147935" w:rsidRDefault="00EA47C7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The Chair asked about the status of the Peer Review Panel. The Head of Policy replied that it would be actioned once the first research topic was underway.</w:t>
            </w:r>
          </w:p>
          <w:p w14:paraId="346A5364" w14:textId="77777777" w:rsidR="00EA47C7" w:rsidRPr="00147935" w:rsidRDefault="00EA47C7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6F5E41D3" w14:textId="203AD502" w:rsidR="00043A3E" w:rsidRPr="00147935" w:rsidRDefault="004E1B73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The Committee recogni</w:t>
            </w:r>
            <w:r w:rsidR="00475875" w:rsidRPr="00147935">
              <w:rPr>
                <w:rFonts w:cs="Arial"/>
                <w:sz w:val="22"/>
                <w:szCs w:val="22"/>
              </w:rPr>
              <w:t>s</w:t>
            </w:r>
            <w:r w:rsidRPr="00147935">
              <w:rPr>
                <w:rFonts w:cs="Arial"/>
                <w:sz w:val="22"/>
                <w:szCs w:val="22"/>
              </w:rPr>
              <w:t xml:space="preserve">ed the </w:t>
            </w:r>
            <w:r w:rsidR="00475875" w:rsidRPr="00147935">
              <w:rPr>
                <w:rFonts w:cs="Arial"/>
                <w:sz w:val="22"/>
                <w:szCs w:val="22"/>
              </w:rPr>
              <w:t>valuable c</w:t>
            </w:r>
            <w:r w:rsidRPr="00147935">
              <w:rPr>
                <w:rFonts w:cs="Arial"/>
                <w:sz w:val="22"/>
                <w:szCs w:val="22"/>
              </w:rPr>
              <w:t xml:space="preserve">ontribution of </w:t>
            </w:r>
            <w:r w:rsidR="00043A3E" w:rsidRPr="00147935">
              <w:rPr>
                <w:rFonts w:cs="Arial"/>
                <w:sz w:val="22"/>
                <w:szCs w:val="22"/>
              </w:rPr>
              <w:t xml:space="preserve">Professor Aude Bicquelet Lock, </w:t>
            </w:r>
            <w:r w:rsidRPr="00147935">
              <w:rPr>
                <w:rFonts w:cs="Arial"/>
                <w:sz w:val="22"/>
                <w:szCs w:val="22"/>
              </w:rPr>
              <w:t xml:space="preserve">the former </w:t>
            </w:r>
            <w:r w:rsidR="00043A3E" w:rsidRPr="00147935">
              <w:rPr>
                <w:rFonts w:cs="Arial"/>
                <w:sz w:val="22"/>
                <w:szCs w:val="22"/>
              </w:rPr>
              <w:t>RTPI Deputy Head of Policy and Research</w:t>
            </w:r>
            <w:r w:rsidRPr="00147935">
              <w:rPr>
                <w:rFonts w:cs="Arial"/>
                <w:sz w:val="22"/>
                <w:szCs w:val="22"/>
              </w:rPr>
              <w:t xml:space="preserve">, for her </w:t>
            </w:r>
            <w:r w:rsidR="00650344" w:rsidRPr="00147935">
              <w:rPr>
                <w:rFonts w:cs="Arial"/>
                <w:sz w:val="22"/>
                <w:szCs w:val="22"/>
              </w:rPr>
              <w:t xml:space="preserve">role and launching the </w:t>
            </w:r>
            <w:hyperlink r:id="rId10" w:history="1">
              <w:r w:rsidR="00650344" w:rsidRPr="00147935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research st</w:t>
              </w:r>
              <w:r w:rsidR="00650344" w:rsidRPr="00147935">
                <w:rPr>
                  <w:rStyle w:val="Hyperlink"/>
                  <w:rFonts w:cs="Arial"/>
                  <w:sz w:val="22"/>
                  <w:szCs w:val="22"/>
                </w:rPr>
                <w:t>rategy</w:t>
              </w:r>
            </w:hyperlink>
            <w:r w:rsidR="00650344" w:rsidRPr="00147935">
              <w:rPr>
                <w:rFonts w:cs="Arial"/>
                <w:sz w:val="22"/>
                <w:szCs w:val="22"/>
              </w:rPr>
              <w:t>.</w:t>
            </w:r>
          </w:p>
          <w:p w14:paraId="3C9CA48C" w14:textId="77777777" w:rsidR="00650344" w:rsidRPr="00147935" w:rsidRDefault="00650344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6AC513F2" w14:textId="6F98FEB1" w:rsidR="00475875" w:rsidRPr="00147935" w:rsidRDefault="00172D78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Members</w:t>
            </w:r>
            <w:r w:rsidR="00475875" w:rsidRPr="00147935">
              <w:rPr>
                <w:rFonts w:cs="Arial"/>
                <w:sz w:val="22"/>
                <w:szCs w:val="22"/>
              </w:rPr>
              <w:t xml:space="preserve"> wished Prof </w:t>
            </w:r>
            <w:r w:rsidR="00B76068" w:rsidRPr="00147935">
              <w:rPr>
                <w:rFonts w:cs="Arial"/>
                <w:sz w:val="22"/>
                <w:szCs w:val="22"/>
              </w:rPr>
              <w:t xml:space="preserve">Bicquelet </w:t>
            </w:r>
            <w:r w:rsidR="00475875" w:rsidRPr="00147935">
              <w:rPr>
                <w:rFonts w:cs="Arial"/>
                <w:sz w:val="22"/>
                <w:szCs w:val="22"/>
              </w:rPr>
              <w:t xml:space="preserve">Lock every success in her new role and looked forward to replacing her successor </w:t>
            </w:r>
            <w:r w:rsidR="007F5A30" w:rsidRPr="00147935">
              <w:rPr>
                <w:rFonts w:cs="Arial"/>
                <w:sz w:val="22"/>
                <w:szCs w:val="22"/>
              </w:rPr>
              <w:t>who was due to begin their role on 5 April 2023</w:t>
            </w:r>
            <w:r w:rsidR="00475875" w:rsidRPr="00147935">
              <w:rPr>
                <w:rFonts w:cs="Arial"/>
                <w:sz w:val="22"/>
                <w:szCs w:val="22"/>
              </w:rPr>
              <w:t>.</w:t>
            </w:r>
          </w:p>
          <w:p w14:paraId="2D4D7E83" w14:textId="3314F133" w:rsidR="00D20C68" w:rsidRPr="00147935" w:rsidRDefault="00D20C68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FB422E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1226A958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703B4525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2CD894C7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0BD06559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54CCACA5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26B56DCA" w14:textId="35DE29EC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219BA3B0" w14:textId="77777777" w:rsidTr="007E6D3F">
        <w:tc>
          <w:tcPr>
            <w:tcW w:w="846" w:type="dxa"/>
          </w:tcPr>
          <w:p w14:paraId="0759AA7F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7767" w:type="dxa"/>
          </w:tcPr>
          <w:p w14:paraId="3E4AC823" w14:textId="05EFBB2F" w:rsidR="00663A90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Research Strategy 2022-24: Selection of Topics</w:t>
            </w:r>
          </w:p>
          <w:p w14:paraId="66DBC31A" w14:textId="77777777" w:rsidR="00BF1615" w:rsidRPr="00147935" w:rsidRDefault="00BF1615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FC56740" w14:textId="0365D4DB" w:rsidR="009107CC" w:rsidRPr="00147935" w:rsidRDefault="009107CC" w:rsidP="00BF1615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Committee members were asked to approve the recommendations for RTPI research topics (section 3 </w:t>
            </w:r>
            <w:r w:rsidR="00B84C99">
              <w:rPr>
                <w:rFonts w:cs="Arial"/>
                <w:sz w:val="22"/>
                <w:szCs w:val="22"/>
              </w:rPr>
              <w:t xml:space="preserve">in report </w:t>
            </w:r>
            <w:r w:rsidR="00890335" w:rsidRPr="00147935">
              <w:rPr>
                <w:rFonts w:cs="Arial"/>
                <w:sz w:val="22"/>
                <w:szCs w:val="22"/>
              </w:rPr>
              <w:t>REF: PPRC23/MAR08/05</w:t>
            </w:r>
            <w:r w:rsidRPr="00147935">
              <w:rPr>
                <w:rFonts w:cs="Arial"/>
                <w:sz w:val="22"/>
                <w:szCs w:val="22"/>
              </w:rPr>
              <w:t xml:space="preserve"> </w:t>
            </w:r>
            <w:r w:rsidR="00890335" w:rsidRPr="00147935">
              <w:rPr>
                <w:rFonts w:cs="Arial"/>
                <w:sz w:val="22"/>
                <w:szCs w:val="22"/>
              </w:rPr>
              <w:t xml:space="preserve">dated 08.03.2023 </w:t>
            </w:r>
            <w:r w:rsidRPr="00147935">
              <w:rPr>
                <w:rFonts w:cs="Arial"/>
                <w:sz w:val="22"/>
                <w:szCs w:val="22"/>
              </w:rPr>
              <w:t>circulated before the meeting)</w:t>
            </w:r>
            <w:r w:rsidR="00075E61" w:rsidRPr="00147935">
              <w:rPr>
                <w:rFonts w:cs="Arial"/>
                <w:sz w:val="22"/>
                <w:szCs w:val="22"/>
              </w:rPr>
              <w:t>.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 </w:t>
            </w:r>
          </w:p>
          <w:p w14:paraId="6C207BCB" w14:textId="77777777" w:rsidR="009107CC" w:rsidRPr="00147935" w:rsidRDefault="009107CC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22969B25" w14:textId="77777777" w:rsidR="00BF1615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The Head of Policy, Practice </w:t>
            </w:r>
            <w:r w:rsidR="00475875" w:rsidRPr="00147935">
              <w:rPr>
                <w:rFonts w:cs="Arial"/>
                <w:sz w:val="22"/>
                <w:szCs w:val="22"/>
              </w:rPr>
              <w:t>and</w:t>
            </w:r>
            <w:r w:rsidRPr="00147935">
              <w:rPr>
                <w:rFonts w:cs="Arial"/>
                <w:sz w:val="22"/>
                <w:szCs w:val="22"/>
              </w:rPr>
              <w:t xml:space="preserve"> Research</w:t>
            </w:r>
            <w:r w:rsidR="009107CC" w:rsidRPr="00147935">
              <w:rPr>
                <w:rFonts w:cs="Arial"/>
                <w:sz w:val="22"/>
                <w:szCs w:val="22"/>
              </w:rPr>
              <w:t xml:space="preserve"> reminded members that the RTPI Board </w:t>
            </w:r>
            <w:r w:rsidR="00BF1615" w:rsidRPr="00147935">
              <w:rPr>
                <w:rFonts w:cs="Arial"/>
                <w:sz w:val="22"/>
                <w:szCs w:val="22"/>
              </w:rPr>
              <w:t xml:space="preserve">had </w:t>
            </w:r>
            <w:r w:rsidR="009107CC" w:rsidRPr="00147935">
              <w:rPr>
                <w:rFonts w:cs="Arial"/>
                <w:sz w:val="22"/>
                <w:szCs w:val="22"/>
              </w:rPr>
              <w:t xml:space="preserve">approved </w:t>
            </w:r>
            <w:r w:rsidR="00BF1615" w:rsidRPr="00147935">
              <w:rPr>
                <w:rFonts w:cs="Arial"/>
                <w:sz w:val="22"/>
                <w:szCs w:val="22"/>
              </w:rPr>
              <w:t>the</w:t>
            </w:r>
            <w:r w:rsidR="009107CC" w:rsidRPr="00147935">
              <w:rPr>
                <w:rFonts w:cs="Arial"/>
                <w:sz w:val="22"/>
                <w:szCs w:val="22"/>
              </w:rPr>
              <w:t xml:space="preserve"> </w:t>
            </w:r>
            <w:hyperlink r:id="rId11" w:history="1">
              <w:r w:rsidR="009107CC" w:rsidRPr="00147935">
                <w:rPr>
                  <w:rStyle w:val="Hyperlink"/>
                  <w:rFonts w:cs="Arial"/>
                  <w:sz w:val="22"/>
                  <w:szCs w:val="22"/>
                </w:rPr>
                <w:t>Research Strategy</w:t>
              </w:r>
            </w:hyperlink>
            <w:r w:rsidR="009107CC" w:rsidRPr="00147935">
              <w:rPr>
                <w:rFonts w:cs="Arial"/>
                <w:sz w:val="22"/>
                <w:szCs w:val="22"/>
              </w:rPr>
              <w:t xml:space="preserve"> in September 2021 that was now being implemented. </w:t>
            </w:r>
          </w:p>
          <w:p w14:paraId="274838CA" w14:textId="77777777" w:rsidR="00BF1615" w:rsidRPr="00147935" w:rsidRDefault="00BF1615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7722EC17" w14:textId="0B9A502B" w:rsidR="00F6220F" w:rsidRPr="00147935" w:rsidRDefault="009107CC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Key elements of the new strategy include </w:t>
            </w:r>
            <w:r w:rsidR="00BF1615" w:rsidRPr="00147935">
              <w:rPr>
                <w:rFonts w:cs="Arial"/>
                <w:sz w:val="22"/>
                <w:szCs w:val="22"/>
              </w:rPr>
              <w:t xml:space="preserve">a concerted effort to work </w:t>
            </w:r>
            <w:r w:rsidRPr="00147935">
              <w:rPr>
                <w:rFonts w:cs="Arial"/>
                <w:sz w:val="22"/>
                <w:szCs w:val="22"/>
              </w:rPr>
              <w:t xml:space="preserve">closer with planning schools on research. </w:t>
            </w:r>
            <w:r w:rsidR="00075E61" w:rsidRPr="00147935">
              <w:rPr>
                <w:rFonts w:cs="Arial"/>
                <w:sz w:val="22"/>
                <w:szCs w:val="22"/>
              </w:rPr>
              <w:t xml:space="preserve">The 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designated </w:t>
            </w:r>
            <w:r w:rsidR="00075E61" w:rsidRPr="00147935">
              <w:rPr>
                <w:rFonts w:cs="Arial"/>
                <w:sz w:val="22"/>
                <w:szCs w:val="22"/>
              </w:rPr>
              <w:t xml:space="preserve">research fund </w:t>
            </w:r>
            <w:r w:rsidR="00890335" w:rsidRPr="00147935">
              <w:rPr>
                <w:rFonts w:cs="Arial"/>
                <w:sz w:val="22"/>
                <w:szCs w:val="22"/>
              </w:rPr>
              <w:t>was</w:t>
            </w:r>
            <w:r w:rsidR="00075E61" w:rsidRPr="00147935">
              <w:rPr>
                <w:rFonts w:cs="Arial"/>
                <w:sz w:val="22"/>
                <w:szCs w:val="22"/>
              </w:rPr>
              <w:t xml:space="preserve"> valued at £1</w:t>
            </w:r>
            <w:r w:rsidR="00F66E1C" w:rsidRPr="00147935">
              <w:rPr>
                <w:rFonts w:cs="Arial"/>
                <w:sz w:val="22"/>
                <w:szCs w:val="22"/>
              </w:rPr>
              <w:t xml:space="preserve">40,000 </w:t>
            </w:r>
            <w:r w:rsidR="00AC6B3B" w:rsidRPr="00147935">
              <w:rPr>
                <w:rFonts w:cs="Arial"/>
                <w:sz w:val="22"/>
                <w:szCs w:val="22"/>
              </w:rPr>
              <w:t>for</w:t>
            </w:r>
            <w:r w:rsidR="00F66E1C" w:rsidRPr="00147935">
              <w:rPr>
                <w:rFonts w:cs="Arial"/>
                <w:sz w:val="22"/>
                <w:szCs w:val="22"/>
              </w:rPr>
              <w:t xml:space="preserve"> 2023-2024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. It will be supplemented by contributions from English Regions, the RTPI </w:t>
            </w:r>
            <w:r w:rsidR="00890335" w:rsidRPr="00147935">
              <w:rPr>
                <w:rFonts w:cs="Arial"/>
                <w:sz w:val="22"/>
                <w:szCs w:val="22"/>
              </w:rPr>
              <w:t>Trust.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 Work would be undertaken both in house and via commissions.</w:t>
            </w:r>
          </w:p>
          <w:p w14:paraId="622ADD33" w14:textId="77777777" w:rsidR="00F6220F" w:rsidRPr="00147935" w:rsidRDefault="00F6220F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5A3A5EE3" w14:textId="1D3D3F8D" w:rsidR="00774448" w:rsidRPr="00147935" w:rsidRDefault="00F6220F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Members were advised that any</w:t>
            </w:r>
            <w:r w:rsidR="0060062F" w:rsidRPr="00147935">
              <w:rPr>
                <w:rFonts w:cs="Arial"/>
                <w:sz w:val="22"/>
                <w:szCs w:val="22"/>
              </w:rPr>
              <w:t xml:space="preserve"> additional requests </w:t>
            </w:r>
            <w:r w:rsidR="00BF1615" w:rsidRPr="00147935">
              <w:rPr>
                <w:rFonts w:cs="Arial"/>
                <w:sz w:val="22"/>
                <w:szCs w:val="22"/>
              </w:rPr>
              <w:t>to the table on the annex c</w:t>
            </w:r>
            <w:r w:rsidR="0060062F" w:rsidRPr="00147935">
              <w:rPr>
                <w:rFonts w:cs="Arial"/>
                <w:sz w:val="22"/>
                <w:szCs w:val="22"/>
              </w:rPr>
              <w:t xml:space="preserve">ould necessitate </w:t>
            </w:r>
            <w:r w:rsidR="00BF1615" w:rsidRPr="00147935">
              <w:rPr>
                <w:rFonts w:cs="Arial"/>
                <w:sz w:val="22"/>
                <w:szCs w:val="22"/>
              </w:rPr>
              <w:t xml:space="preserve">removing </w:t>
            </w:r>
            <w:r w:rsidR="00B34EB0" w:rsidRPr="00147935">
              <w:rPr>
                <w:rFonts w:cs="Arial"/>
                <w:sz w:val="22"/>
                <w:szCs w:val="22"/>
              </w:rPr>
              <w:t>existing proposals</w:t>
            </w:r>
            <w:r w:rsidR="00C27260" w:rsidRPr="00147935">
              <w:rPr>
                <w:rFonts w:cs="Arial"/>
                <w:sz w:val="22"/>
                <w:szCs w:val="22"/>
              </w:rPr>
              <w:t xml:space="preserve"> elsewhere.</w:t>
            </w:r>
          </w:p>
          <w:p w14:paraId="0076C227" w14:textId="6702F35C" w:rsidR="009107CC" w:rsidRPr="00147935" w:rsidRDefault="009107CC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773EFC2B" w14:textId="3A023373" w:rsidR="009107CC" w:rsidRPr="00147935" w:rsidRDefault="006A6625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Main points discussed</w:t>
            </w:r>
            <w:r w:rsidR="00890335" w:rsidRPr="00147935">
              <w:rPr>
                <w:rFonts w:cs="Arial"/>
                <w:sz w:val="22"/>
                <w:szCs w:val="22"/>
              </w:rPr>
              <w:t>:</w:t>
            </w:r>
          </w:p>
          <w:p w14:paraId="1A8BA110" w14:textId="54F34009" w:rsidR="003F6520" w:rsidRPr="00147935" w:rsidRDefault="003F652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12EC71FD" w14:textId="76C5DD31" w:rsidR="003F6520" w:rsidRPr="00147935" w:rsidRDefault="003F6520" w:rsidP="00BF1615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47935">
              <w:rPr>
                <w:sz w:val="22"/>
                <w:szCs w:val="22"/>
              </w:rPr>
              <w:t>Could England policy matters such as street votes be included?</w:t>
            </w:r>
            <w:r w:rsidR="00147935" w:rsidRPr="00147935">
              <w:rPr>
                <w:sz w:val="22"/>
                <w:szCs w:val="22"/>
              </w:rPr>
              <w:t xml:space="preserve"> RTPI Officers </w:t>
            </w:r>
            <w:r w:rsidRPr="00147935">
              <w:rPr>
                <w:sz w:val="22"/>
                <w:szCs w:val="22"/>
              </w:rPr>
              <w:t>pointed out that the requests of the England Policy Panel had been added</w:t>
            </w:r>
            <w:r w:rsidR="00B84C99">
              <w:rPr>
                <w:sz w:val="22"/>
                <w:szCs w:val="22"/>
              </w:rPr>
              <w:t>,</w:t>
            </w:r>
            <w:r w:rsidRPr="00147935">
              <w:rPr>
                <w:sz w:val="22"/>
                <w:szCs w:val="22"/>
              </w:rPr>
              <w:t xml:space="preserve"> namely work on local plans. </w:t>
            </w:r>
          </w:p>
          <w:p w14:paraId="10F2405C" w14:textId="77777777" w:rsidR="006A6625" w:rsidRPr="00147935" w:rsidRDefault="006A6625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1909B9B2" w14:textId="77777777" w:rsidR="00147935" w:rsidRPr="00147935" w:rsidRDefault="00890335" w:rsidP="00147935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47935">
              <w:rPr>
                <w:sz w:val="22"/>
                <w:szCs w:val="22"/>
              </w:rPr>
              <w:lastRenderedPageBreak/>
              <w:t xml:space="preserve">Members asked if </w:t>
            </w:r>
            <w:r w:rsidR="003F6520" w:rsidRPr="00147935">
              <w:rPr>
                <w:sz w:val="22"/>
                <w:szCs w:val="22"/>
              </w:rPr>
              <w:t xml:space="preserve">digital planning </w:t>
            </w:r>
            <w:r w:rsidRPr="00147935">
              <w:rPr>
                <w:sz w:val="22"/>
                <w:szCs w:val="22"/>
              </w:rPr>
              <w:t xml:space="preserve">could </w:t>
            </w:r>
            <w:r w:rsidR="003F6520" w:rsidRPr="00147935">
              <w:rPr>
                <w:sz w:val="22"/>
                <w:szCs w:val="22"/>
              </w:rPr>
              <w:t>be included</w:t>
            </w:r>
            <w:r w:rsidRPr="00147935">
              <w:rPr>
                <w:sz w:val="22"/>
                <w:szCs w:val="22"/>
              </w:rPr>
              <w:t xml:space="preserve"> to which RPTI officers</w:t>
            </w:r>
            <w:r w:rsidR="00147935" w:rsidRPr="00147935">
              <w:rPr>
                <w:sz w:val="22"/>
                <w:szCs w:val="22"/>
              </w:rPr>
              <w:t xml:space="preserve"> </w:t>
            </w:r>
            <w:r w:rsidR="003F6520" w:rsidRPr="00147935">
              <w:rPr>
                <w:sz w:val="22"/>
                <w:szCs w:val="22"/>
              </w:rPr>
              <w:t>pointed out th</w:t>
            </w:r>
            <w:r w:rsidRPr="00147935">
              <w:rPr>
                <w:sz w:val="22"/>
                <w:szCs w:val="22"/>
              </w:rPr>
              <w:t>e</w:t>
            </w:r>
            <w:r w:rsidR="003F6520" w:rsidRPr="00147935">
              <w:rPr>
                <w:sz w:val="22"/>
                <w:szCs w:val="22"/>
              </w:rPr>
              <w:t xml:space="preserve"> extensive work had been undertaken on Digital Planning by Wei Yang and Mike Batty at UCL.</w:t>
            </w:r>
          </w:p>
          <w:p w14:paraId="25259897" w14:textId="77777777" w:rsidR="00147935" w:rsidRPr="00147935" w:rsidRDefault="00147935" w:rsidP="00147935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</w:p>
          <w:p w14:paraId="05260C3F" w14:textId="32785DAE" w:rsidR="00890335" w:rsidRPr="00147935" w:rsidRDefault="00890335" w:rsidP="00147935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47935">
              <w:rPr>
                <w:sz w:val="22"/>
                <w:szCs w:val="22"/>
              </w:rPr>
              <w:t xml:space="preserve">It was noted that Regions that did not hold reserves could still benefit from funding, however, they would not receive a specific focus. This could cover regions </w:t>
            </w:r>
            <w:r w:rsidR="00B84C99">
              <w:rPr>
                <w:sz w:val="22"/>
                <w:szCs w:val="22"/>
              </w:rPr>
              <w:t>that had not</w:t>
            </w:r>
            <w:r w:rsidRPr="00147935">
              <w:rPr>
                <w:sz w:val="22"/>
                <w:szCs w:val="22"/>
              </w:rPr>
              <w:t xml:space="preserve"> put forward ideas</w:t>
            </w:r>
            <w:r w:rsidR="00B84C99">
              <w:rPr>
                <w:sz w:val="22"/>
                <w:szCs w:val="22"/>
              </w:rPr>
              <w:t>,</w:t>
            </w:r>
            <w:r w:rsidRPr="00147935">
              <w:rPr>
                <w:sz w:val="22"/>
                <w:szCs w:val="22"/>
              </w:rPr>
              <w:t xml:space="preserve"> such as East Midlands.</w:t>
            </w:r>
          </w:p>
          <w:p w14:paraId="39B4D752" w14:textId="77777777" w:rsidR="00090CBD" w:rsidRPr="00147935" w:rsidRDefault="00090CBD" w:rsidP="00BF1615">
            <w:pPr>
              <w:rPr>
                <w:rFonts w:cs="Arial"/>
                <w:sz w:val="22"/>
                <w:szCs w:val="22"/>
              </w:rPr>
            </w:pPr>
          </w:p>
          <w:p w14:paraId="4766ECE8" w14:textId="1076F3CF" w:rsidR="00F6220F" w:rsidRPr="00147935" w:rsidRDefault="00F6220F" w:rsidP="00BF161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Feedback from International Committee</w:t>
            </w:r>
          </w:p>
          <w:p w14:paraId="14706B0B" w14:textId="1C196507" w:rsidR="00F6220F" w:rsidRPr="00147935" w:rsidRDefault="00F6220F" w:rsidP="00890335">
            <w:pPr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Feedback from the International Committee included a request for research to be developed into thought-leadership editorial pieces to cover topics such as rapid recovery from disaster and building capacity for resilience within a global context</w:t>
            </w:r>
            <w:r w:rsidR="00147935" w:rsidRPr="00147935">
              <w:rPr>
                <w:rFonts w:cs="Arial"/>
                <w:sz w:val="22"/>
                <w:szCs w:val="22"/>
              </w:rPr>
              <w:t xml:space="preserve">. </w:t>
            </w:r>
            <w:r w:rsidRPr="00147935">
              <w:rPr>
                <w:rFonts w:cs="Arial"/>
                <w:sz w:val="22"/>
                <w:szCs w:val="22"/>
              </w:rPr>
              <w:t xml:space="preserve">Members asked </w:t>
            </w:r>
            <w:r w:rsidR="00147935" w:rsidRPr="00147935">
              <w:rPr>
                <w:rFonts w:cs="Arial"/>
                <w:sz w:val="22"/>
                <w:szCs w:val="22"/>
              </w:rPr>
              <w:t>for the inclusion of</w:t>
            </w:r>
            <w:r w:rsidRPr="00147935">
              <w:rPr>
                <w:rFonts w:cs="Arial"/>
                <w:sz w:val="22"/>
                <w:szCs w:val="22"/>
              </w:rPr>
              <w:t xml:space="preserve"> additional international themes such as displacement</w:t>
            </w:r>
            <w:r w:rsidR="00147935" w:rsidRPr="00147935">
              <w:rPr>
                <w:rFonts w:cs="Arial"/>
                <w:sz w:val="22"/>
                <w:szCs w:val="22"/>
              </w:rPr>
              <w:t>.</w:t>
            </w:r>
          </w:p>
          <w:p w14:paraId="71BBE978" w14:textId="578DD073" w:rsidR="00F6220F" w:rsidRPr="00147935" w:rsidRDefault="00890335" w:rsidP="00BF1615">
            <w:pPr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RTPI officers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 pointed out that</w:t>
            </w:r>
            <w:r w:rsidR="00147935">
              <w:rPr>
                <w:rFonts w:cs="Arial"/>
                <w:sz w:val="22"/>
                <w:szCs w:val="22"/>
              </w:rPr>
              <w:t>,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 unless items were removed from the list, it would be difficult to add specific international items. </w:t>
            </w:r>
            <w:r w:rsidRPr="00147935">
              <w:rPr>
                <w:rFonts w:cs="Arial"/>
                <w:sz w:val="22"/>
                <w:szCs w:val="22"/>
              </w:rPr>
              <w:t>Furthermore,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 displacement had been </w:t>
            </w:r>
            <w:r w:rsidR="00147935" w:rsidRPr="00147935">
              <w:rPr>
                <w:rFonts w:cs="Arial"/>
                <w:sz w:val="22"/>
                <w:szCs w:val="22"/>
              </w:rPr>
              <w:t>featured in a</w:t>
            </w:r>
            <w:r w:rsidR="00F6220F" w:rsidRPr="00147935">
              <w:rPr>
                <w:rFonts w:cs="Arial"/>
                <w:sz w:val="22"/>
                <w:szCs w:val="22"/>
              </w:rPr>
              <w:t xml:space="preserve"> recent report. </w:t>
            </w:r>
          </w:p>
          <w:p w14:paraId="3192702C" w14:textId="25881C8C" w:rsidR="00D06A9D" w:rsidRPr="00147935" w:rsidRDefault="00D06A9D" w:rsidP="00BF161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Feedback from the Nations</w:t>
            </w:r>
          </w:p>
          <w:p w14:paraId="328EE2FA" w14:textId="158EE242" w:rsidR="00D06A9D" w:rsidRPr="00147935" w:rsidRDefault="00E212F1" w:rsidP="00BF1615">
            <w:pPr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Members noted </w:t>
            </w:r>
            <w:r w:rsidR="00543F2F" w:rsidRPr="00147935">
              <w:rPr>
                <w:rFonts w:cs="Arial"/>
                <w:sz w:val="22"/>
                <w:szCs w:val="22"/>
              </w:rPr>
              <w:t>the</w:t>
            </w:r>
            <w:r w:rsidRPr="00147935">
              <w:rPr>
                <w:rFonts w:cs="Arial"/>
                <w:sz w:val="22"/>
                <w:szCs w:val="22"/>
              </w:rPr>
              <w:t xml:space="preserve"> </w:t>
            </w:r>
            <w:r w:rsidR="00D06A9D" w:rsidRPr="00147935">
              <w:rPr>
                <w:rFonts w:cs="Arial"/>
                <w:sz w:val="22"/>
                <w:szCs w:val="22"/>
              </w:rPr>
              <w:t>written</w:t>
            </w:r>
            <w:r w:rsidR="00A16A3A" w:rsidRPr="00147935">
              <w:rPr>
                <w:rFonts w:cs="Arial"/>
                <w:sz w:val="22"/>
                <w:szCs w:val="22"/>
              </w:rPr>
              <w:t xml:space="preserve"> feedback from the Nations</w:t>
            </w:r>
            <w:r w:rsidR="003F6520" w:rsidRPr="00147935">
              <w:rPr>
                <w:rFonts w:cs="Arial"/>
                <w:sz w:val="22"/>
                <w:szCs w:val="22"/>
              </w:rPr>
              <w:t xml:space="preserve"> including England</w:t>
            </w:r>
            <w:r w:rsidR="00D06A9D" w:rsidRPr="00147935">
              <w:rPr>
                <w:rFonts w:cs="Arial"/>
                <w:sz w:val="22"/>
                <w:szCs w:val="22"/>
              </w:rPr>
              <w:t xml:space="preserve">. In addition, representatives of the Nations </w:t>
            </w:r>
            <w:r w:rsidR="00B76068" w:rsidRPr="00147935">
              <w:rPr>
                <w:rFonts w:cs="Arial"/>
                <w:sz w:val="22"/>
                <w:szCs w:val="22"/>
              </w:rPr>
              <w:t>mentioned a few additional points</w:t>
            </w:r>
            <w:r w:rsidR="00D06A9D" w:rsidRPr="00147935">
              <w:rPr>
                <w:rFonts w:cs="Arial"/>
                <w:sz w:val="22"/>
                <w:szCs w:val="22"/>
              </w:rPr>
              <w:t>:</w:t>
            </w:r>
          </w:p>
          <w:p w14:paraId="558F3A15" w14:textId="464BA5F4" w:rsidR="00D06A9D" w:rsidRPr="00147935" w:rsidRDefault="00D06A9D" w:rsidP="00BF1615">
            <w:pPr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Northern Ireland</w:t>
            </w:r>
            <w:r w:rsidR="005821E0" w:rsidRPr="00147935">
              <w:rPr>
                <w:rFonts w:cs="Arial"/>
                <w:sz w:val="22"/>
                <w:szCs w:val="22"/>
              </w:rPr>
              <w:t xml:space="preserve"> </w:t>
            </w:r>
            <w:r w:rsidR="00583579" w:rsidRPr="00147935">
              <w:rPr>
                <w:rFonts w:cs="Arial"/>
                <w:sz w:val="22"/>
                <w:szCs w:val="22"/>
              </w:rPr>
              <w:t>–</w:t>
            </w:r>
            <w:r w:rsidR="005821E0" w:rsidRPr="00147935">
              <w:rPr>
                <w:rFonts w:cs="Arial"/>
                <w:sz w:val="22"/>
                <w:szCs w:val="22"/>
              </w:rPr>
              <w:t xml:space="preserve"> </w:t>
            </w:r>
            <w:r w:rsidR="003F6520" w:rsidRPr="00147935">
              <w:rPr>
                <w:rFonts w:cs="Arial"/>
                <w:sz w:val="22"/>
                <w:szCs w:val="22"/>
              </w:rPr>
              <w:t xml:space="preserve">Include </w:t>
            </w:r>
            <w:r w:rsidR="00583579" w:rsidRPr="00147935">
              <w:rPr>
                <w:rFonts w:cs="Arial"/>
                <w:sz w:val="22"/>
                <w:szCs w:val="22"/>
              </w:rPr>
              <w:t>Strategic planning across border with the Republic of Ireland</w:t>
            </w:r>
            <w:r w:rsidR="003F6520" w:rsidRPr="00147935">
              <w:rPr>
                <w:rFonts w:cs="Arial"/>
                <w:sz w:val="22"/>
                <w:szCs w:val="22"/>
              </w:rPr>
              <w:t xml:space="preserve"> in strategic planning</w:t>
            </w:r>
            <w:r w:rsidR="001F4488" w:rsidRPr="00147935">
              <w:rPr>
                <w:rFonts w:cs="Arial"/>
                <w:sz w:val="22"/>
                <w:szCs w:val="22"/>
              </w:rPr>
              <w:t>. Include NI in Location Development</w:t>
            </w:r>
            <w:r w:rsidR="00B76A02" w:rsidRPr="00147935">
              <w:rPr>
                <w:rFonts w:cs="Arial"/>
                <w:sz w:val="22"/>
                <w:szCs w:val="22"/>
              </w:rPr>
              <w:t xml:space="preserve">. A </w:t>
            </w:r>
            <w:r w:rsidR="001F4488" w:rsidRPr="00147935">
              <w:rPr>
                <w:rFonts w:cs="Arial"/>
                <w:sz w:val="22"/>
                <w:szCs w:val="22"/>
              </w:rPr>
              <w:t xml:space="preserve">Collaboration </w:t>
            </w:r>
            <w:r w:rsidR="00B76A02" w:rsidRPr="00147935">
              <w:rPr>
                <w:rFonts w:cs="Arial"/>
                <w:sz w:val="22"/>
                <w:szCs w:val="22"/>
              </w:rPr>
              <w:t xml:space="preserve">was </w:t>
            </w:r>
            <w:r w:rsidR="001F4488" w:rsidRPr="00147935">
              <w:rPr>
                <w:rFonts w:cs="Arial"/>
                <w:sz w:val="22"/>
                <w:szCs w:val="22"/>
              </w:rPr>
              <w:t xml:space="preserve">underway </w:t>
            </w:r>
            <w:r w:rsidR="00B76A02" w:rsidRPr="00147935">
              <w:rPr>
                <w:rFonts w:cs="Arial"/>
                <w:sz w:val="22"/>
                <w:szCs w:val="22"/>
              </w:rPr>
              <w:t>between</w:t>
            </w:r>
            <w:r w:rsidR="001F4488" w:rsidRPr="00147935">
              <w:rPr>
                <w:rFonts w:cs="Arial"/>
                <w:sz w:val="22"/>
                <w:szCs w:val="22"/>
              </w:rPr>
              <w:t xml:space="preserve"> University of Ulster on greenways</w:t>
            </w:r>
            <w:r w:rsidR="00C95877" w:rsidRPr="00147935">
              <w:rPr>
                <w:rFonts w:cs="Arial"/>
                <w:sz w:val="22"/>
                <w:szCs w:val="22"/>
              </w:rPr>
              <w:t>; planning for energy security</w:t>
            </w:r>
            <w:r w:rsidR="00055FD5" w:rsidRPr="00147935">
              <w:rPr>
                <w:rFonts w:cs="Arial"/>
                <w:sz w:val="22"/>
                <w:szCs w:val="22"/>
              </w:rPr>
              <w:t xml:space="preserve">, </w:t>
            </w:r>
            <w:r w:rsidR="00B76A02" w:rsidRPr="00147935">
              <w:rPr>
                <w:rFonts w:cs="Arial"/>
                <w:sz w:val="22"/>
                <w:szCs w:val="22"/>
              </w:rPr>
              <w:t>further</w:t>
            </w:r>
            <w:r w:rsidR="00055FD5" w:rsidRPr="00147935">
              <w:rPr>
                <w:rFonts w:cs="Arial"/>
                <w:sz w:val="22"/>
                <w:szCs w:val="22"/>
              </w:rPr>
              <w:t xml:space="preserve"> </w:t>
            </w:r>
            <w:r w:rsidR="00B76A02" w:rsidRPr="00147935">
              <w:rPr>
                <w:rFonts w:cs="Arial"/>
                <w:sz w:val="22"/>
                <w:szCs w:val="22"/>
              </w:rPr>
              <w:t xml:space="preserve">developing </w:t>
            </w:r>
            <w:r w:rsidR="00055FD5" w:rsidRPr="00147935">
              <w:rPr>
                <w:rFonts w:cs="Arial"/>
                <w:sz w:val="22"/>
                <w:szCs w:val="22"/>
              </w:rPr>
              <w:t>strong renewable energy sector</w:t>
            </w:r>
            <w:r w:rsidR="00C95877" w:rsidRPr="00147935">
              <w:rPr>
                <w:rFonts w:cs="Arial"/>
                <w:sz w:val="22"/>
                <w:szCs w:val="22"/>
              </w:rPr>
              <w:t xml:space="preserve"> and </w:t>
            </w:r>
            <w:r w:rsidR="00B76A02" w:rsidRPr="00147935">
              <w:rPr>
                <w:rFonts w:cs="Arial"/>
                <w:sz w:val="22"/>
                <w:szCs w:val="22"/>
              </w:rPr>
              <w:t xml:space="preserve">planning for </w:t>
            </w:r>
            <w:r w:rsidR="00C95877" w:rsidRPr="00147935">
              <w:rPr>
                <w:rFonts w:cs="Arial"/>
                <w:sz w:val="22"/>
                <w:szCs w:val="22"/>
              </w:rPr>
              <w:t>a net-zero carbon usage</w:t>
            </w:r>
            <w:r w:rsidR="001E7A72" w:rsidRPr="00147935">
              <w:rPr>
                <w:rFonts w:cs="Arial"/>
                <w:sz w:val="22"/>
                <w:szCs w:val="22"/>
              </w:rPr>
              <w:t xml:space="preserve">. </w:t>
            </w:r>
          </w:p>
          <w:p w14:paraId="5BBFA8B2" w14:textId="569B4D8D" w:rsidR="00F6220F" w:rsidRPr="00147935" w:rsidRDefault="00F6220F" w:rsidP="00BF161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DECISION</w:t>
            </w:r>
            <w:r w:rsidR="00890335" w:rsidRPr="00147935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890335" w:rsidRPr="00147935">
              <w:rPr>
                <w:rFonts w:cs="Arial"/>
                <w:sz w:val="22"/>
                <w:szCs w:val="22"/>
              </w:rPr>
              <w:t>T</w:t>
            </w:r>
            <w:r w:rsidRPr="00147935">
              <w:rPr>
                <w:rFonts w:cs="Arial"/>
                <w:sz w:val="22"/>
                <w:szCs w:val="22"/>
              </w:rPr>
              <w:t>he recommended topics for the Research Strategy were agreed subject to the addition of Northern Ireland to Location of Development 4 if possible.</w:t>
            </w:r>
          </w:p>
          <w:p w14:paraId="69C48CCA" w14:textId="77777777" w:rsidR="00663A90" w:rsidRPr="00147935" w:rsidRDefault="00663A90" w:rsidP="00BF1615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345A08EF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D1593B5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3FD0939F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3FBC00D2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0B8C54BE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475A7E49" w14:textId="77777777" w:rsidTr="007E6D3F">
        <w:tc>
          <w:tcPr>
            <w:tcW w:w="846" w:type="dxa"/>
          </w:tcPr>
          <w:p w14:paraId="6AE36649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7767" w:type="dxa"/>
          </w:tcPr>
          <w:p w14:paraId="1BA58886" w14:textId="77777777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 xml:space="preserve">Research Awards Update </w:t>
            </w:r>
          </w:p>
          <w:p w14:paraId="39AE964D" w14:textId="77777777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07C4A5BC" w14:textId="6371E9BE" w:rsidR="003F6520" w:rsidRPr="00147935" w:rsidRDefault="002A2691" w:rsidP="00BF1615">
            <w:pPr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The Research Officer</w:t>
            </w:r>
            <w:r w:rsidR="00B27537" w:rsidRPr="00147935">
              <w:rPr>
                <w:rFonts w:cs="Arial"/>
                <w:bCs/>
                <w:sz w:val="22"/>
                <w:szCs w:val="22"/>
              </w:rPr>
              <w:t xml:space="preserve"> gave a verbal update</w:t>
            </w:r>
            <w:r w:rsidR="00800C59" w:rsidRPr="00147935">
              <w:rPr>
                <w:rFonts w:cs="Arial"/>
                <w:bCs/>
                <w:sz w:val="22"/>
                <w:szCs w:val="22"/>
              </w:rPr>
              <w:t xml:space="preserve"> and recommended that the </w:t>
            </w:r>
            <w:r w:rsidRPr="00147935">
              <w:rPr>
                <w:rFonts w:cs="Arial"/>
                <w:bCs/>
                <w:sz w:val="22"/>
                <w:szCs w:val="22"/>
              </w:rPr>
              <w:t>Committee approve</w:t>
            </w:r>
            <w:r w:rsidR="00B76068" w:rsidRPr="00147935">
              <w:rPr>
                <w:rFonts w:cs="Arial"/>
                <w:bCs/>
                <w:sz w:val="22"/>
                <w:szCs w:val="22"/>
              </w:rPr>
              <w:t>d</w:t>
            </w:r>
            <w:r w:rsidRPr="00147935">
              <w:rPr>
                <w:rFonts w:cs="Arial"/>
                <w:bCs/>
                <w:sz w:val="22"/>
                <w:szCs w:val="22"/>
              </w:rPr>
              <w:t xml:space="preserve"> plans to update the</w:t>
            </w:r>
            <w:r w:rsidR="00470039" w:rsidRPr="00147935">
              <w:rPr>
                <w:rFonts w:cs="Arial"/>
                <w:bCs/>
                <w:sz w:val="22"/>
                <w:szCs w:val="22"/>
              </w:rPr>
              <w:t xml:space="preserve"> judging guidance</w:t>
            </w:r>
            <w:r w:rsidR="00B27537" w:rsidRPr="0014793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E7ECF" w:rsidRPr="00147935">
              <w:rPr>
                <w:rFonts w:cs="Arial"/>
                <w:bCs/>
                <w:sz w:val="22"/>
                <w:szCs w:val="22"/>
              </w:rPr>
              <w:t xml:space="preserve">for the Sir Peter Hall awards </w:t>
            </w:r>
            <w:r w:rsidR="00177AEC" w:rsidRPr="00147935">
              <w:rPr>
                <w:rFonts w:cs="Arial"/>
                <w:bCs/>
                <w:sz w:val="22"/>
                <w:szCs w:val="22"/>
              </w:rPr>
              <w:t xml:space="preserve">to enable </w:t>
            </w:r>
            <w:r w:rsidR="004E7ECF" w:rsidRPr="00147935">
              <w:rPr>
                <w:rFonts w:cs="Arial"/>
                <w:bCs/>
                <w:sz w:val="22"/>
                <w:szCs w:val="22"/>
              </w:rPr>
              <w:t xml:space="preserve">only </w:t>
            </w:r>
            <w:r w:rsidR="00177AEC" w:rsidRPr="00147935">
              <w:rPr>
                <w:rFonts w:cs="Arial"/>
                <w:bCs/>
                <w:sz w:val="22"/>
                <w:szCs w:val="22"/>
              </w:rPr>
              <w:t>one overall winner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890335" w:rsidRPr="00147935">
              <w:rPr>
                <w:rFonts w:cs="Arial"/>
                <w:bCs/>
                <w:sz w:val="22"/>
                <w:szCs w:val="22"/>
              </w:rPr>
              <w:t>Members were also asked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 xml:space="preserve"> to approve the recommendation of the RTPI Events team that the research awards </w:t>
            </w:r>
            <w:r w:rsidR="00890335" w:rsidRPr="00147935">
              <w:rPr>
                <w:rFonts w:cs="Arial"/>
                <w:bCs/>
                <w:sz w:val="22"/>
                <w:szCs w:val="22"/>
              </w:rPr>
              <w:t>were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 xml:space="preserve"> not included in the annual Awards for Planning Excellence ceremony. This recommendation </w:t>
            </w:r>
            <w:r w:rsidR="00890335" w:rsidRPr="00147935">
              <w:rPr>
                <w:rFonts w:cs="Arial"/>
                <w:bCs/>
                <w:sz w:val="22"/>
                <w:szCs w:val="22"/>
              </w:rPr>
              <w:t>had arisen from a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90335" w:rsidRPr="00147935">
              <w:rPr>
                <w:rFonts w:cs="Arial"/>
                <w:bCs/>
                <w:sz w:val="22"/>
                <w:szCs w:val="22"/>
              </w:rPr>
              <w:t>lack of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 xml:space="preserve"> uptake of that opportunity.</w:t>
            </w:r>
          </w:p>
          <w:p w14:paraId="6E90E0D3" w14:textId="009CFAD7" w:rsidR="003F6520" w:rsidRPr="00147935" w:rsidRDefault="00890335" w:rsidP="00BF1615">
            <w:pPr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t>DECISION:</w:t>
            </w:r>
            <w:r w:rsidR="003F6520" w:rsidRPr="0014793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>Members agreed to forego the inclusion of research awards in the main Awards for Planning Excellence.</w:t>
            </w:r>
          </w:p>
          <w:p w14:paraId="30D7E612" w14:textId="7C3C021D" w:rsidR="002A2691" w:rsidRPr="00147935" w:rsidRDefault="002A2691" w:rsidP="00BF1615">
            <w:pPr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lastRenderedPageBreak/>
              <w:t xml:space="preserve">ACTION: </w:t>
            </w:r>
            <w:r w:rsidRPr="00147935">
              <w:rPr>
                <w:rFonts w:cs="Arial"/>
                <w:bCs/>
                <w:sz w:val="22"/>
                <w:szCs w:val="22"/>
              </w:rPr>
              <w:t>Update judging guidance as requested</w:t>
            </w:r>
            <w:r w:rsidR="003816C4" w:rsidRPr="00147935">
              <w:rPr>
                <w:rFonts w:cs="Arial"/>
                <w:bCs/>
                <w:sz w:val="22"/>
                <w:szCs w:val="22"/>
              </w:rPr>
              <w:t xml:space="preserve"> and liaise with the 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 xml:space="preserve">University </w:t>
            </w:r>
            <w:r w:rsidR="003816C4" w:rsidRPr="00147935">
              <w:rPr>
                <w:rFonts w:cs="Arial"/>
                <w:bCs/>
                <w:sz w:val="22"/>
                <w:szCs w:val="22"/>
              </w:rPr>
              <w:t xml:space="preserve">to ensure ceremony </w:t>
            </w:r>
            <w:r w:rsidR="003F6520" w:rsidRPr="00147935">
              <w:rPr>
                <w:rFonts w:cs="Arial"/>
                <w:bCs/>
                <w:sz w:val="22"/>
                <w:szCs w:val="22"/>
              </w:rPr>
              <w:t>is well attended</w:t>
            </w:r>
            <w:r w:rsidRPr="00147935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14:paraId="65A21B93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1F58E43" w14:textId="77777777" w:rsidR="002A2691" w:rsidRPr="00147935" w:rsidRDefault="002A2691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146DBCEF" w14:textId="77777777" w:rsidR="002A2691" w:rsidRPr="00147935" w:rsidRDefault="002A2691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03C8CEAE" w14:textId="77777777" w:rsidR="002A2691" w:rsidRPr="00147935" w:rsidRDefault="002A2691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23F3A287" w14:textId="77777777" w:rsidR="002A2691" w:rsidRPr="00147935" w:rsidRDefault="002A2691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50B6E355" w14:textId="77777777" w:rsidR="002A2691" w:rsidRPr="00147935" w:rsidRDefault="002A2691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307F82D4" w14:textId="77777777" w:rsidR="004740C3" w:rsidRPr="00147935" w:rsidRDefault="004740C3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4EE57B9E" w14:textId="77777777" w:rsidR="004740C3" w:rsidRPr="00147935" w:rsidRDefault="004740C3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5D4E74D8" w14:textId="239764C6" w:rsidR="002A2691" w:rsidRPr="00147935" w:rsidRDefault="002A2691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0201D880" w14:textId="01CD5D57" w:rsidR="00890335" w:rsidRPr="00147935" w:rsidRDefault="00890335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3E82852F" w14:textId="2B478D2F" w:rsidR="00890335" w:rsidRPr="00147935" w:rsidRDefault="00890335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3000A94" w14:textId="2D672A76" w:rsidR="00890335" w:rsidRPr="00147935" w:rsidRDefault="00890335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69D4BD71" w14:textId="003115A7" w:rsidR="00890335" w:rsidRPr="00147935" w:rsidRDefault="00890335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618454D" w14:textId="77777777" w:rsidR="00890335" w:rsidRPr="00147935" w:rsidRDefault="00890335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6C6C04D9" w14:textId="18A8598D" w:rsidR="002A2691" w:rsidRPr="00147935" w:rsidRDefault="002A2691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lastRenderedPageBreak/>
              <w:t>JD</w:t>
            </w:r>
          </w:p>
          <w:p w14:paraId="1708CAD8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5B4B6175" w14:textId="77777777" w:rsidTr="007E6D3F">
        <w:tc>
          <w:tcPr>
            <w:tcW w:w="846" w:type="dxa"/>
          </w:tcPr>
          <w:p w14:paraId="75AB8ABC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7767" w:type="dxa"/>
          </w:tcPr>
          <w:p w14:paraId="7FCA4E0E" w14:textId="23D32906" w:rsidR="00663A90" w:rsidRPr="00147935" w:rsidRDefault="005824E8" w:rsidP="00BF1615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Music Venues</w:t>
            </w:r>
            <w:r w:rsidR="00090CBD" w:rsidRPr="00147935">
              <w:rPr>
                <w:rFonts w:cs="Arial"/>
                <w:b/>
                <w:bCs/>
                <w:sz w:val="22"/>
                <w:szCs w:val="22"/>
              </w:rPr>
              <w:t xml:space="preserve"> Trusts</w:t>
            </w:r>
          </w:p>
          <w:p w14:paraId="45862EF0" w14:textId="77777777" w:rsidR="00090CBD" w:rsidRPr="00147935" w:rsidRDefault="00090CBD" w:rsidP="00BF1615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777BEDF3" w14:textId="6A239F43" w:rsidR="008E4EAA" w:rsidRPr="00147935" w:rsidRDefault="008E4EAA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The Committee was asked to agree to support a statutory right of consultation for music venues subject to the conditions </w:t>
            </w:r>
            <w:r w:rsidR="00090CBD" w:rsidRPr="00147935">
              <w:rPr>
                <w:rFonts w:cs="Arial"/>
                <w:sz w:val="22"/>
                <w:szCs w:val="22"/>
              </w:rPr>
              <w:t xml:space="preserve">as </w:t>
            </w:r>
            <w:r w:rsidRPr="00147935">
              <w:rPr>
                <w:rFonts w:cs="Arial"/>
                <w:sz w:val="22"/>
                <w:szCs w:val="22"/>
              </w:rPr>
              <w:t>set out in the report circulated before the meeting.</w:t>
            </w:r>
          </w:p>
          <w:p w14:paraId="686474CB" w14:textId="77777777" w:rsidR="008E4EAA" w:rsidRPr="00147935" w:rsidRDefault="008E4EAA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7115E74C" w14:textId="64996217" w:rsidR="008E4EAA" w:rsidRPr="00147935" w:rsidRDefault="008E4EAA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napToGrid w:val="0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The Head of Policy, Practice &amp; Research </w:t>
            </w:r>
            <w:r w:rsidR="006558F3" w:rsidRPr="00147935">
              <w:rPr>
                <w:rFonts w:cs="Arial"/>
                <w:sz w:val="22"/>
                <w:szCs w:val="22"/>
              </w:rPr>
              <w:t>recommended approval with the caveat</w:t>
            </w:r>
            <w:r w:rsidR="00090CBD" w:rsidRPr="00147935">
              <w:rPr>
                <w:rFonts w:cs="Arial"/>
                <w:sz w:val="22"/>
                <w:szCs w:val="22"/>
              </w:rPr>
              <w:t xml:space="preserve">s to be </w:t>
            </w:r>
            <w:r w:rsidR="00E6477B" w:rsidRPr="00147935">
              <w:rPr>
                <w:rFonts w:cs="Arial"/>
                <w:sz w:val="22"/>
                <w:szCs w:val="22"/>
              </w:rPr>
              <w:t xml:space="preserve">resolved </w:t>
            </w:r>
            <w:r w:rsidR="00E6477B" w:rsidRPr="00147935">
              <w:rPr>
                <w:rFonts w:cs="Arial"/>
                <w:snapToGrid w:val="0"/>
                <w:sz w:val="22"/>
                <w:szCs w:val="22"/>
              </w:rPr>
              <w:t>at his meeting with representatives of the</w:t>
            </w:r>
            <w:r w:rsidRPr="00147935">
              <w:rPr>
                <w:rFonts w:cs="Arial"/>
                <w:snapToGrid w:val="0"/>
                <w:sz w:val="22"/>
                <w:szCs w:val="22"/>
              </w:rPr>
              <w:t xml:space="preserve"> Music Venue Trust</w:t>
            </w:r>
            <w:r w:rsidR="00E6477B" w:rsidRPr="00147935">
              <w:rPr>
                <w:rFonts w:cs="Arial"/>
                <w:snapToGrid w:val="0"/>
                <w:sz w:val="22"/>
                <w:szCs w:val="22"/>
              </w:rPr>
              <w:t xml:space="preserve"> on 14 March 2023</w:t>
            </w:r>
            <w:r w:rsidRPr="00147935">
              <w:rPr>
                <w:rFonts w:cs="Arial"/>
                <w:snapToGrid w:val="0"/>
                <w:sz w:val="22"/>
                <w:szCs w:val="22"/>
              </w:rPr>
              <w:t>:</w:t>
            </w:r>
          </w:p>
          <w:p w14:paraId="356E628D" w14:textId="77777777" w:rsidR="00090CBD" w:rsidRPr="00147935" w:rsidRDefault="00090CBD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napToGrid w:val="0"/>
                <w:sz w:val="22"/>
                <w:szCs w:val="22"/>
              </w:rPr>
            </w:pPr>
          </w:p>
          <w:p w14:paraId="70574EBC" w14:textId="77777777" w:rsidR="008E4EAA" w:rsidRPr="00147935" w:rsidRDefault="008E4EAA" w:rsidP="00BF1615">
            <w:pPr>
              <w:pStyle w:val="ListParagraph"/>
              <w:numPr>
                <w:ilvl w:val="0"/>
                <w:numId w:val="19"/>
              </w:numPr>
              <w:tabs>
                <w:tab w:val="clear" w:pos="1080"/>
                <w:tab w:val="clear" w:pos="1260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147935">
              <w:rPr>
                <w:snapToGrid w:val="0"/>
                <w:sz w:val="22"/>
                <w:szCs w:val="22"/>
              </w:rPr>
              <w:t>Do they have a clear understanding of the process?</w:t>
            </w:r>
          </w:p>
          <w:p w14:paraId="60747383" w14:textId="77777777" w:rsidR="008E4EAA" w:rsidRPr="00147935" w:rsidRDefault="008E4EAA" w:rsidP="00BF1615">
            <w:pPr>
              <w:pStyle w:val="ListParagraph"/>
              <w:numPr>
                <w:ilvl w:val="0"/>
                <w:numId w:val="19"/>
              </w:numPr>
              <w:tabs>
                <w:tab w:val="clear" w:pos="1080"/>
                <w:tab w:val="clear" w:pos="1260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147935">
              <w:rPr>
                <w:snapToGrid w:val="0"/>
                <w:sz w:val="22"/>
                <w:szCs w:val="22"/>
              </w:rPr>
              <w:t>Are they resourced to give timely responses which add value?</w:t>
            </w:r>
          </w:p>
          <w:p w14:paraId="6E80541C" w14:textId="77777777" w:rsidR="008E4EAA" w:rsidRPr="00147935" w:rsidRDefault="008E4EAA" w:rsidP="00BF1615">
            <w:pPr>
              <w:pStyle w:val="ListParagraph"/>
              <w:numPr>
                <w:ilvl w:val="0"/>
                <w:numId w:val="19"/>
              </w:numPr>
              <w:tabs>
                <w:tab w:val="clear" w:pos="1080"/>
                <w:tab w:val="clear" w:pos="1260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147935">
              <w:rPr>
                <w:snapToGrid w:val="0"/>
                <w:sz w:val="22"/>
                <w:szCs w:val="22"/>
              </w:rPr>
              <w:t>What process would be used to define the applications in scope – what are “venues”?</w:t>
            </w:r>
          </w:p>
          <w:p w14:paraId="4C27A91D" w14:textId="77777777" w:rsidR="008E4EAA" w:rsidRPr="00147935" w:rsidRDefault="008E4EAA" w:rsidP="00BF1615">
            <w:pPr>
              <w:pStyle w:val="ListParagraph"/>
              <w:numPr>
                <w:ilvl w:val="0"/>
                <w:numId w:val="19"/>
              </w:numPr>
              <w:tabs>
                <w:tab w:val="clear" w:pos="1080"/>
                <w:tab w:val="clear" w:pos="1260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147935">
              <w:rPr>
                <w:sz w:val="22"/>
                <w:szCs w:val="22"/>
              </w:rPr>
              <w:t>What would the MVT see as the proper role for planning and for other regimes such as Environmental Health?</w:t>
            </w:r>
          </w:p>
          <w:p w14:paraId="288F8997" w14:textId="2930FCAC" w:rsidR="008E4EAA" w:rsidRPr="00147935" w:rsidRDefault="008E4EAA" w:rsidP="00BF1615">
            <w:pPr>
              <w:pStyle w:val="ListParagraph"/>
              <w:numPr>
                <w:ilvl w:val="0"/>
                <w:numId w:val="19"/>
              </w:numPr>
              <w:tabs>
                <w:tab w:val="clear" w:pos="1080"/>
                <w:tab w:val="clear" w:pos="1260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147935">
              <w:rPr>
                <w:sz w:val="22"/>
                <w:szCs w:val="22"/>
              </w:rPr>
              <w:t>Is the MVT concerned about noise from other venues which might have an impact on existing venues</w:t>
            </w:r>
            <w:r w:rsidR="00147935" w:rsidRPr="00147935">
              <w:rPr>
                <w:sz w:val="22"/>
                <w:szCs w:val="22"/>
              </w:rPr>
              <w:t>?</w:t>
            </w:r>
          </w:p>
          <w:p w14:paraId="259E2758" w14:textId="3ADABEA7" w:rsidR="008E4EAA" w:rsidRPr="00147935" w:rsidRDefault="008E4EAA" w:rsidP="00BF1615">
            <w:pPr>
              <w:pStyle w:val="ListParagraph"/>
              <w:numPr>
                <w:ilvl w:val="0"/>
                <w:numId w:val="19"/>
              </w:numPr>
              <w:tabs>
                <w:tab w:val="clear" w:pos="1080"/>
                <w:tab w:val="clear" w:pos="1260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147935">
              <w:rPr>
                <w:snapToGrid w:val="0"/>
                <w:sz w:val="22"/>
                <w:szCs w:val="22"/>
              </w:rPr>
              <w:t>Would this right of consultation extend to “agent of change” circumstances not directly happening on the site of the venue?</w:t>
            </w:r>
          </w:p>
          <w:p w14:paraId="3F582B5E" w14:textId="77777777" w:rsidR="008E4EAA" w:rsidRPr="00147935" w:rsidRDefault="008E4EAA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4531DB26" w14:textId="77777777" w:rsidR="00663A90" w:rsidRPr="00147935" w:rsidRDefault="006558F3" w:rsidP="00BF1615">
            <w:pPr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t>DECISION</w:t>
            </w:r>
            <w:r w:rsidRPr="00147935">
              <w:rPr>
                <w:rFonts w:cs="Arial"/>
                <w:bCs/>
                <w:sz w:val="22"/>
                <w:szCs w:val="22"/>
              </w:rPr>
              <w:t>: Approved</w:t>
            </w:r>
            <w:r w:rsidR="00791207" w:rsidRPr="0014793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90CBD" w:rsidRPr="00147935">
              <w:rPr>
                <w:rFonts w:cs="Arial"/>
                <w:bCs/>
                <w:sz w:val="22"/>
                <w:szCs w:val="22"/>
              </w:rPr>
              <w:t>with</w:t>
            </w:r>
            <w:r w:rsidR="00791207" w:rsidRPr="00147935">
              <w:rPr>
                <w:rFonts w:cs="Arial"/>
                <w:bCs/>
                <w:sz w:val="22"/>
                <w:szCs w:val="22"/>
              </w:rPr>
              <w:t xml:space="preserve"> issues listed above </w:t>
            </w:r>
            <w:r w:rsidR="00090CBD" w:rsidRPr="00147935">
              <w:rPr>
                <w:rFonts w:cs="Arial"/>
                <w:bCs/>
                <w:sz w:val="22"/>
                <w:szCs w:val="22"/>
              </w:rPr>
              <w:t xml:space="preserve">to be </w:t>
            </w:r>
            <w:r w:rsidR="00791207" w:rsidRPr="00147935">
              <w:rPr>
                <w:rFonts w:cs="Arial"/>
                <w:bCs/>
                <w:sz w:val="22"/>
                <w:szCs w:val="22"/>
              </w:rPr>
              <w:t>resolved</w:t>
            </w:r>
            <w:r w:rsidR="00090CBD" w:rsidRPr="00147935">
              <w:rPr>
                <w:rFonts w:cs="Arial"/>
                <w:bCs/>
                <w:sz w:val="22"/>
                <w:szCs w:val="22"/>
              </w:rPr>
              <w:t xml:space="preserve"> with the Music Venue Trust</w:t>
            </w:r>
            <w:r w:rsidR="00791207" w:rsidRPr="00147935">
              <w:rPr>
                <w:rFonts w:cs="Arial"/>
                <w:bCs/>
                <w:sz w:val="22"/>
                <w:szCs w:val="22"/>
              </w:rPr>
              <w:t>.</w:t>
            </w:r>
          </w:p>
          <w:p w14:paraId="3C999615" w14:textId="6C103799" w:rsidR="00147935" w:rsidRPr="00147935" w:rsidRDefault="00147935" w:rsidP="00BF1615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6B1F68B6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2F00FA17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53871474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13811D3D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71353033" w14:textId="77777777" w:rsidTr="007E6D3F">
        <w:tc>
          <w:tcPr>
            <w:tcW w:w="846" w:type="dxa"/>
          </w:tcPr>
          <w:p w14:paraId="75E6BD76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bookmarkStart w:id="0" w:name="_Hlk99541861"/>
            <w:r w:rsidRPr="00147935"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7767" w:type="dxa"/>
          </w:tcPr>
          <w:p w14:paraId="2FFF50A7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t>Nations Updates</w:t>
            </w:r>
          </w:p>
          <w:p w14:paraId="5CE6A486" w14:textId="77777777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B4B0006" w14:textId="2187191B" w:rsidR="00663A90" w:rsidRPr="00147935" w:rsidRDefault="00E05C1F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Representatives from the Nations gave verbal updates on </w:t>
            </w:r>
            <w:r w:rsidR="004602BE" w:rsidRPr="00147935">
              <w:rPr>
                <w:rFonts w:cs="Arial"/>
                <w:sz w:val="22"/>
                <w:szCs w:val="22"/>
              </w:rPr>
              <w:t>work in</w:t>
            </w:r>
            <w:r w:rsidRPr="00147935">
              <w:rPr>
                <w:rFonts w:cs="Arial"/>
                <w:sz w:val="22"/>
                <w:szCs w:val="22"/>
              </w:rPr>
              <w:t xml:space="preserve"> their respective countries </w:t>
            </w:r>
            <w:r w:rsidR="004602BE" w:rsidRPr="00147935">
              <w:rPr>
                <w:rFonts w:cs="Arial"/>
                <w:sz w:val="22"/>
                <w:szCs w:val="22"/>
              </w:rPr>
              <w:t>for</w:t>
            </w:r>
            <w:r w:rsidRPr="00147935">
              <w:rPr>
                <w:rFonts w:cs="Arial"/>
                <w:sz w:val="22"/>
                <w:szCs w:val="22"/>
              </w:rPr>
              <w:t xml:space="preserve"> the last two months:</w:t>
            </w:r>
          </w:p>
          <w:p w14:paraId="235A9BF5" w14:textId="77777777" w:rsidR="006B70F8" w:rsidRPr="00147935" w:rsidRDefault="006B70F8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374CE9AE" w14:textId="6E92A5C7" w:rsidR="00663A90" w:rsidRPr="00147935" w:rsidRDefault="006B70F8" w:rsidP="00BF1615">
            <w:pPr>
              <w:spacing w:after="0"/>
              <w:rPr>
                <w:rFonts w:cs="Arial"/>
                <w:sz w:val="22"/>
                <w:szCs w:val="22"/>
                <w:u w:val="single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Wales</w:t>
            </w:r>
            <w:r w:rsidR="001B3513" w:rsidRPr="00147935">
              <w:rPr>
                <w:rFonts w:cs="Arial"/>
                <w:sz w:val="22"/>
                <w:szCs w:val="22"/>
              </w:rPr>
              <w:t xml:space="preserve"> – </w:t>
            </w:r>
            <w:r w:rsidR="004602BE" w:rsidRPr="00147935">
              <w:rPr>
                <w:rFonts w:cs="Arial"/>
                <w:sz w:val="22"/>
                <w:szCs w:val="22"/>
              </w:rPr>
              <w:t>I</w:t>
            </w:r>
            <w:r w:rsidR="001B3513" w:rsidRPr="00147935">
              <w:rPr>
                <w:rFonts w:cs="Arial"/>
                <w:sz w:val="22"/>
                <w:szCs w:val="22"/>
              </w:rPr>
              <w:t>ntroduction of a new research policy forum</w:t>
            </w:r>
            <w:r w:rsidR="00F55773" w:rsidRPr="00147935">
              <w:rPr>
                <w:rFonts w:cs="Arial"/>
                <w:sz w:val="22"/>
                <w:szCs w:val="22"/>
              </w:rPr>
              <w:t xml:space="preserve"> followed by a call for evidence from Welsh-speaking communities</w:t>
            </w:r>
            <w:r w:rsidR="008000CD" w:rsidRPr="00147935">
              <w:rPr>
                <w:rFonts w:cs="Arial"/>
                <w:sz w:val="22"/>
                <w:szCs w:val="22"/>
              </w:rPr>
              <w:t xml:space="preserve"> and advising the devolved </w:t>
            </w:r>
            <w:r w:rsidR="004602BE" w:rsidRPr="00147935">
              <w:rPr>
                <w:rFonts w:cs="Arial"/>
                <w:sz w:val="22"/>
                <w:szCs w:val="22"/>
              </w:rPr>
              <w:t xml:space="preserve">Welsh </w:t>
            </w:r>
            <w:r w:rsidR="008000CD" w:rsidRPr="00147935">
              <w:rPr>
                <w:rFonts w:cs="Arial"/>
                <w:sz w:val="22"/>
                <w:szCs w:val="22"/>
              </w:rPr>
              <w:t>government on achieving a net-zero carbon future</w:t>
            </w:r>
            <w:r w:rsidR="004602BE" w:rsidRPr="00147935">
              <w:rPr>
                <w:rFonts w:cs="Arial"/>
                <w:sz w:val="22"/>
                <w:szCs w:val="22"/>
                <w:u w:val="single"/>
              </w:rPr>
              <w:t>.</w:t>
            </w:r>
          </w:p>
          <w:p w14:paraId="2E44D314" w14:textId="77777777" w:rsidR="006B70F8" w:rsidRPr="00147935" w:rsidRDefault="006B70F8" w:rsidP="00BF1615">
            <w:pPr>
              <w:spacing w:after="0"/>
              <w:rPr>
                <w:rFonts w:cs="Arial"/>
                <w:sz w:val="22"/>
                <w:szCs w:val="22"/>
                <w:u w:val="single"/>
              </w:rPr>
            </w:pPr>
          </w:p>
          <w:p w14:paraId="2ABCD067" w14:textId="663951EC" w:rsidR="00B7464E" w:rsidRPr="00147935" w:rsidRDefault="006B70F8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Scotland</w:t>
            </w:r>
            <w:r w:rsidR="003532D7" w:rsidRPr="00147935">
              <w:rPr>
                <w:rFonts w:cs="Arial"/>
                <w:sz w:val="22"/>
                <w:szCs w:val="22"/>
              </w:rPr>
              <w:t xml:space="preserve"> </w:t>
            </w:r>
            <w:r w:rsidR="007A7F58" w:rsidRPr="00147935">
              <w:rPr>
                <w:rFonts w:cs="Arial"/>
                <w:sz w:val="22"/>
                <w:szCs w:val="22"/>
              </w:rPr>
              <w:t>–</w:t>
            </w:r>
            <w:r w:rsidR="003532D7" w:rsidRPr="00147935">
              <w:rPr>
                <w:rFonts w:cs="Arial"/>
                <w:sz w:val="22"/>
                <w:szCs w:val="22"/>
              </w:rPr>
              <w:t xml:space="preserve"> </w:t>
            </w:r>
            <w:r w:rsidR="00B7464E" w:rsidRPr="00147935">
              <w:rPr>
                <w:rFonts w:cs="Arial"/>
                <w:sz w:val="22"/>
                <w:szCs w:val="22"/>
              </w:rPr>
              <w:t xml:space="preserve">National Planning Framework 4 has been formally adopted while awaiting publication of Local Development Plan Regulations and Guidance. The Director </w:t>
            </w:r>
            <w:r w:rsidR="00D11AF0" w:rsidRPr="00147935">
              <w:rPr>
                <w:rFonts w:cs="Arial"/>
                <w:sz w:val="22"/>
                <w:szCs w:val="22"/>
              </w:rPr>
              <w:t>would</w:t>
            </w:r>
            <w:r w:rsidR="00B7464E" w:rsidRPr="00147935">
              <w:rPr>
                <w:rFonts w:cs="Arial"/>
                <w:sz w:val="22"/>
                <w:szCs w:val="22"/>
              </w:rPr>
              <w:t xml:space="preserve"> manage policy matters before a new PPR officer </w:t>
            </w:r>
            <w:r w:rsidR="00D11AF0" w:rsidRPr="00147935">
              <w:rPr>
                <w:rFonts w:cs="Arial"/>
                <w:sz w:val="22"/>
                <w:szCs w:val="22"/>
              </w:rPr>
              <w:t xml:space="preserve">was </w:t>
            </w:r>
            <w:r w:rsidR="00B7464E" w:rsidRPr="00147935">
              <w:rPr>
                <w:rFonts w:cs="Arial"/>
                <w:sz w:val="22"/>
                <w:szCs w:val="22"/>
              </w:rPr>
              <w:t>appointed</w:t>
            </w:r>
            <w:r w:rsidR="00D11AF0" w:rsidRPr="00147935">
              <w:rPr>
                <w:rFonts w:cs="Arial"/>
                <w:sz w:val="22"/>
                <w:szCs w:val="22"/>
              </w:rPr>
              <w:t>.</w:t>
            </w:r>
          </w:p>
          <w:p w14:paraId="49CEF87C" w14:textId="77777777" w:rsidR="00B7464E" w:rsidRPr="00147935" w:rsidRDefault="00B7464E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B7EF3A2" w14:textId="1E5FA573" w:rsidR="006B70F8" w:rsidRPr="00147935" w:rsidRDefault="00296BB8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 xml:space="preserve">Northern </w:t>
            </w:r>
            <w:r w:rsidR="006B70F8" w:rsidRPr="00147935">
              <w:rPr>
                <w:rFonts w:cs="Arial"/>
                <w:b/>
                <w:bCs/>
                <w:sz w:val="22"/>
                <w:szCs w:val="22"/>
              </w:rPr>
              <w:t>Ireland</w:t>
            </w:r>
            <w:r w:rsidRPr="00147935">
              <w:rPr>
                <w:rFonts w:cs="Arial"/>
                <w:sz w:val="22"/>
                <w:szCs w:val="22"/>
              </w:rPr>
              <w:t xml:space="preserve"> </w:t>
            </w:r>
            <w:r w:rsidR="00147935" w:rsidRPr="00147935">
              <w:rPr>
                <w:rFonts w:cs="Arial"/>
                <w:sz w:val="22"/>
                <w:szCs w:val="22"/>
              </w:rPr>
              <w:t xml:space="preserve">(NI) </w:t>
            </w:r>
            <w:r w:rsidR="00071A3F" w:rsidRPr="00147935">
              <w:rPr>
                <w:rFonts w:cs="Arial"/>
                <w:sz w:val="22"/>
                <w:szCs w:val="22"/>
              </w:rPr>
              <w:t>–</w:t>
            </w:r>
            <w:r w:rsidRPr="00147935">
              <w:rPr>
                <w:rFonts w:cs="Arial"/>
                <w:sz w:val="22"/>
                <w:szCs w:val="22"/>
              </w:rPr>
              <w:t xml:space="preserve"> </w:t>
            </w:r>
            <w:r w:rsidR="00071A3F" w:rsidRPr="00147935">
              <w:rPr>
                <w:rFonts w:cs="Arial"/>
                <w:sz w:val="22"/>
                <w:szCs w:val="22"/>
              </w:rPr>
              <w:t>Launch of new policy forum bringing together planning experts from academia and the private and public sector</w:t>
            </w:r>
            <w:r w:rsidR="00AB76BE" w:rsidRPr="00147935">
              <w:rPr>
                <w:rFonts w:cs="Arial"/>
                <w:sz w:val="22"/>
                <w:szCs w:val="22"/>
              </w:rPr>
              <w:t xml:space="preserve">; explore </w:t>
            </w:r>
            <w:r w:rsidR="00D24CF7" w:rsidRPr="00147935">
              <w:rPr>
                <w:rFonts w:cs="Arial"/>
                <w:sz w:val="22"/>
                <w:szCs w:val="22"/>
              </w:rPr>
              <w:t>NI position to</w:t>
            </w:r>
            <w:r w:rsidR="00AB76BE" w:rsidRPr="00147935">
              <w:rPr>
                <w:rFonts w:cs="Arial"/>
                <w:sz w:val="22"/>
                <w:szCs w:val="22"/>
              </w:rPr>
              <w:t xml:space="preserve"> the </w:t>
            </w:r>
            <w:hyperlink r:id="rId12" w:history="1">
              <w:r w:rsidR="00727940" w:rsidRPr="00147935">
                <w:rPr>
                  <w:rStyle w:val="Hyperlink"/>
                  <w:rFonts w:cs="Arial"/>
                  <w:sz w:val="22"/>
                  <w:szCs w:val="22"/>
                  <w:u w:val="none"/>
                  <w:lang w:eastAsia="en-US"/>
                </w:rPr>
                <w:t xml:space="preserve">Draft </w:t>
              </w:r>
              <w:r w:rsidR="00FC6815" w:rsidRPr="00147935">
                <w:rPr>
                  <w:rStyle w:val="Hyperlink"/>
                  <w:rFonts w:cs="Arial"/>
                  <w:sz w:val="22"/>
                  <w:szCs w:val="22"/>
                  <w:u w:val="none"/>
                </w:rPr>
                <w:t xml:space="preserve">Planning and Development </w:t>
              </w:r>
              <w:r w:rsidR="00AB76BE" w:rsidRPr="00147935">
                <w:rPr>
                  <w:rStyle w:val="Hyperlink"/>
                  <w:rFonts w:cs="Arial"/>
                  <w:sz w:val="22"/>
                  <w:szCs w:val="22"/>
                  <w:u w:val="none"/>
                </w:rPr>
                <w:t xml:space="preserve">bill </w:t>
              </w:r>
              <w:r w:rsidR="00FC6815" w:rsidRPr="00147935">
                <w:rPr>
                  <w:rStyle w:val="Hyperlink"/>
                  <w:rFonts w:cs="Arial"/>
                  <w:sz w:val="22"/>
                  <w:szCs w:val="22"/>
                  <w:u w:val="none"/>
                </w:rPr>
                <w:t>2022</w:t>
              </w:r>
            </w:hyperlink>
            <w:r w:rsidR="0053653B" w:rsidRPr="00147935">
              <w:rPr>
                <w:rFonts w:cs="Arial"/>
                <w:sz w:val="22"/>
                <w:szCs w:val="22"/>
              </w:rPr>
              <w:t xml:space="preserve">– five consultations </w:t>
            </w:r>
            <w:r w:rsidR="00147935" w:rsidRPr="00147935">
              <w:rPr>
                <w:rFonts w:cs="Arial"/>
                <w:sz w:val="22"/>
                <w:szCs w:val="22"/>
              </w:rPr>
              <w:t>underway</w:t>
            </w:r>
            <w:r w:rsidR="008E1FF1" w:rsidRPr="00147935">
              <w:rPr>
                <w:rFonts w:cs="Arial"/>
                <w:sz w:val="22"/>
                <w:szCs w:val="22"/>
              </w:rPr>
              <w:t>.</w:t>
            </w:r>
          </w:p>
          <w:p w14:paraId="72CFA069" w14:textId="77777777" w:rsidR="006B70F8" w:rsidRPr="00147935" w:rsidRDefault="006B70F8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0349FA1B" w14:textId="6BE2A98F" w:rsidR="006B70F8" w:rsidRPr="00147935" w:rsidRDefault="006B70F8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lastRenderedPageBreak/>
              <w:t>England</w:t>
            </w:r>
            <w:r w:rsidR="00730421" w:rsidRPr="00147935">
              <w:rPr>
                <w:rFonts w:cs="Arial"/>
                <w:sz w:val="22"/>
                <w:szCs w:val="22"/>
              </w:rPr>
              <w:t xml:space="preserve"> </w:t>
            </w:r>
            <w:r w:rsidR="00E7547C" w:rsidRPr="00147935">
              <w:rPr>
                <w:rFonts w:cs="Arial"/>
                <w:sz w:val="22"/>
                <w:szCs w:val="22"/>
              </w:rPr>
              <w:t>–</w:t>
            </w:r>
            <w:r w:rsidR="00730421" w:rsidRPr="00147935">
              <w:rPr>
                <w:rFonts w:cs="Arial"/>
                <w:sz w:val="22"/>
                <w:szCs w:val="22"/>
              </w:rPr>
              <w:t xml:space="preserve"> </w:t>
            </w:r>
            <w:r w:rsidR="002A5BBF" w:rsidRPr="00147935">
              <w:rPr>
                <w:rFonts w:cs="Arial"/>
                <w:sz w:val="22"/>
                <w:szCs w:val="22"/>
              </w:rPr>
              <w:t xml:space="preserve">Response </w:t>
            </w:r>
            <w:r w:rsidR="004F077F" w:rsidRPr="00147935">
              <w:rPr>
                <w:rFonts w:cs="Arial"/>
                <w:sz w:val="22"/>
                <w:szCs w:val="22"/>
              </w:rPr>
              <w:t>to the National Planning Policy Framework</w:t>
            </w:r>
            <w:r w:rsidR="005E66D4" w:rsidRPr="00147935">
              <w:rPr>
                <w:rFonts w:cs="Arial"/>
                <w:sz w:val="22"/>
                <w:szCs w:val="22"/>
              </w:rPr>
              <w:t xml:space="preserve"> </w:t>
            </w:r>
            <w:r w:rsidR="00205E52" w:rsidRPr="00147935">
              <w:rPr>
                <w:rFonts w:cs="Arial"/>
                <w:sz w:val="22"/>
                <w:szCs w:val="22"/>
              </w:rPr>
              <w:t>has been</w:t>
            </w:r>
            <w:r w:rsidR="005E66D4" w:rsidRPr="00147935">
              <w:rPr>
                <w:rFonts w:cs="Arial"/>
                <w:sz w:val="22"/>
                <w:szCs w:val="22"/>
              </w:rPr>
              <w:t xml:space="preserve"> completed</w:t>
            </w:r>
            <w:r w:rsidR="00205E52" w:rsidRPr="00147935">
              <w:rPr>
                <w:rFonts w:cs="Arial"/>
                <w:sz w:val="22"/>
                <w:szCs w:val="22"/>
              </w:rPr>
              <w:t xml:space="preserve">. This followed </w:t>
            </w:r>
            <w:r w:rsidR="005E66D4" w:rsidRPr="00147935">
              <w:rPr>
                <w:rFonts w:cs="Arial"/>
                <w:sz w:val="22"/>
                <w:szCs w:val="22"/>
              </w:rPr>
              <w:t xml:space="preserve">extensive consultations with members across the English regions. This was the first in a pipeline </w:t>
            </w:r>
            <w:r w:rsidR="00667FBD" w:rsidRPr="00147935">
              <w:rPr>
                <w:rFonts w:cs="Arial"/>
                <w:sz w:val="22"/>
                <w:szCs w:val="22"/>
              </w:rPr>
              <w:t>of consultations. The next consultation w</w:t>
            </w:r>
            <w:r w:rsidR="00147935" w:rsidRPr="00147935">
              <w:rPr>
                <w:rFonts w:cs="Arial"/>
                <w:sz w:val="22"/>
                <w:szCs w:val="22"/>
              </w:rPr>
              <w:t>ould</w:t>
            </w:r>
            <w:r w:rsidR="00667FBD" w:rsidRPr="00147935">
              <w:rPr>
                <w:rFonts w:cs="Arial"/>
                <w:sz w:val="22"/>
                <w:szCs w:val="22"/>
              </w:rPr>
              <w:t xml:space="preserve"> focus on planning fees. </w:t>
            </w:r>
            <w:r w:rsidR="00047E90" w:rsidRPr="00147935">
              <w:rPr>
                <w:rFonts w:cs="Arial"/>
                <w:sz w:val="22"/>
                <w:szCs w:val="22"/>
              </w:rPr>
              <w:t xml:space="preserve">The proposed changes to the NPFF </w:t>
            </w:r>
            <w:r w:rsidR="00712164" w:rsidRPr="00147935">
              <w:rPr>
                <w:rFonts w:cs="Arial"/>
                <w:sz w:val="22"/>
                <w:szCs w:val="22"/>
              </w:rPr>
              <w:t xml:space="preserve">would address </w:t>
            </w:r>
            <w:r w:rsidR="00205E52" w:rsidRPr="00147935">
              <w:rPr>
                <w:rFonts w:cs="Arial"/>
                <w:sz w:val="22"/>
                <w:szCs w:val="22"/>
              </w:rPr>
              <w:t xml:space="preserve">a </w:t>
            </w:r>
            <w:r w:rsidR="00712164" w:rsidRPr="00147935">
              <w:rPr>
                <w:rFonts w:cs="Arial"/>
                <w:sz w:val="22"/>
                <w:szCs w:val="22"/>
              </w:rPr>
              <w:t xml:space="preserve">low trust among the public in the </w:t>
            </w:r>
            <w:r w:rsidR="00490935" w:rsidRPr="00147935">
              <w:rPr>
                <w:rFonts w:cs="Arial"/>
                <w:sz w:val="22"/>
                <w:szCs w:val="22"/>
              </w:rPr>
              <w:t xml:space="preserve">regional </w:t>
            </w:r>
            <w:r w:rsidR="00712164" w:rsidRPr="00147935">
              <w:rPr>
                <w:rFonts w:cs="Arial"/>
                <w:sz w:val="22"/>
                <w:szCs w:val="22"/>
              </w:rPr>
              <w:t>planning system</w:t>
            </w:r>
            <w:r w:rsidR="00490935" w:rsidRPr="00147935">
              <w:rPr>
                <w:rFonts w:cs="Arial"/>
                <w:sz w:val="22"/>
                <w:szCs w:val="22"/>
              </w:rPr>
              <w:t xml:space="preserve"> and a lack of incentive</w:t>
            </w:r>
            <w:r w:rsidR="00874A2E" w:rsidRPr="00147935">
              <w:rPr>
                <w:rFonts w:cs="Arial"/>
                <w:sz w:val="22"/>
                <w:szCs w:val="22"/>
              </w:rPr>
              <w:t xml:space="preserve"> </w:t>
            </w:r>
            <w:r w:rsidR="00205E52" w:rsidRPr="00147935">
              <w:rPr>
                <w:rFonts w:cs="Arial"/>
                <w:sz w:val="22"/>
                <w:szCs w:val="22"/>
              </w:rPr>
              <w:t>for communities to participate.</w:t>
            </w:r>
          </w:p>
          <w:p w14:paraId="1EA36675" w14:textId="77777777" w:rsidR="006B70F8" w:rsidRPr="00147935" w:rsidRDefault="006B70F8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657D24B0" w14:textId="29C40DCC" w:rsidR="006B70F8" w:rsidRPr="00147935" w:rsidRDefault="006B70F8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Members asked that </w:t>
            </w:r>
            <w:r w:rsidR="00E05C1F" w:rsidRPr="00147935">
              <w:rPr>
                <w:rFonts w:cs="Arial"/>
                <w:sz w:val="22"/>
                <w:szCs w:val="22"/>
              </w:rPr>
              <w:t xml:space="preserve">written </w:t>
            </w:r>
            <w:r w:rsidRPr="00147935">
              <w:rPr>
                <w:rFonts w:cs="Arial"/>
                <w:sz w:val="22"/>
                <w:szCs w:val="22"/>
              </w:rPr>
              <w:t xml:space="preserve">updates be </w:t>
            </w:r>
            <w:r w:rsidR="00E05C1F" w:rsidRPr="00147935">
              <w:rPr>
                <w:rFonts w:cs="Arial"/>
                <w:sz w:val="22"/>
                <w:szCs w:val="22"/>
              </w:rPr>
              <w:t>written at future meetings.</w:t>
            </w:r>
          </w:p>
          <w:p w14:paraId="258BAE75" w14:textId="77777777" w:rsidR="00291551" w:rsidRPr="00147935" w:rsidRDefault="00291551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5E2B71B1" w14:textId="31D3C1D5" w:rsidR="00291551" w:rsidRPr="00147935" w:rsidRDefault="00291551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The Committee thanked </w:t>
            </w:r>
            <w:r w:rsidR="0010498A" w:rsidRPr="00147935">
              <w:rPr>
                <w:rFonts w:cs="Arial"/>
                <w:sz w:val="22"/>
                <w:szCs w:val="22"/>
              </w:rPr>
              <w:t xml:space="preserve">Robbie Calvert </w:t>
            </w:r>
            <w:r w:rsidR="00EB3313" w:rsidRPr="00147935">
              <w:rPr>
                <w:rFonts w:cs="Arial"/>
                <w:sz w:val="22"/>
                <w:szCs w:val="22"/>
              </w:rPr>
              <w:t xml:space="preserve">the RTPI Policy and Research Officer </w:t>
            </w:r>
            <w:r w:rsidR="0010498A" w:rsidRPr="00147935">
              <w:rPr>
                <w:rFonts w:cs="Arial"/>
                <w:sz w:val="22"/>
                <w:szCs w:val="22"/>
              </w:rPr>
              <w:t xml:space="preserve">for this contribution to the RTPI and wished him every success </w:t>
            </w:r>
            <w:r w:rsidR="00B76068" w:rsidRPr="00147935">
              <w:rPr>
                <w:rFonts w:cs="Arial"/>
                <w:sz w:val="22"/>
                <w:szCs w:val="22"/>
              </w:rPr>
              <w:t xml:space="preserve">in </w:t>
            </w:r>
            <w:r w:rsidR="0010498A" w:rsidRPr="00147935">
              <w:rPr>
                <w:rFonts w:cs="Arial"/>
                <w:sz w:val="22"/>
                <w:szCs w:val="22"/>
              </w:rPr>
              <w:t>his next role.</w:t>
            </w:r>
          </w:p>
          <w:p w14:paraId="74760CE4" w14:textId="77777777" w:rsidR="0010498A" w:rsidRPr="00147935" w:rsidRDefault="0010498A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034CBBA1" w14:textId="7AA14084" w:rsidR="0010498A" w:rsidRPr="00147935" w:rsidRDefault="0010498A" w:rsidP="00BF1615">
            <w:pPr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Noted.</w:t>
            </w:r>
          </w:p>
          <w:p w14:paraId="4954882F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AF94738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582E0882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90942E8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358BCC2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2E4E4FB2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0D5424D4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5E6559DC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bookmarkEnd w:id="0"/>
      <w:tr w:rsidR="00663A90" w:rsidRPr="00147935" w14:paraId="42023533" w14:textId="77777777" w:rsidTr="007E6D3F">
        <w:tc>
          <w:tcPr>
            <w:tcW w:w="846" w:type="dxa"/>
          </w:tcPr>
          <w:p w14:paraId="20870838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7767" w:type="dxa"/>
          </w:tcPr>
          <w:p w14:paraId="1881A60B" w14:textId="40CBBDA7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Annual Report of National Association for Planning Enforcement</w:t>
            </w:r>
          </w:p>
          <w:p w14:paraId="357CC5DC" w14:textId="77777777" w:rsidR="00EB3313" w:rsidRPr="00147935" w:rsidRDefault="00EB3313" w:rsidP="00BF1615">
            <w:pPr>
              <w:rPr>
                <w:rFonts w:cs="Arial"/>
                <w:bCs/>
                <w:sz w:val="22"/>
                <w:szCs w:val="22"/>
              </w:rPr>
            </w:pPr>
          </w:p>
          <w:p w14:paraId="00187305" w14:textId="307FE4E4" w:rsidR="005824E8" w:rsidRPr="00147935" w:rsidRDefault="008E4EAA" w:rsidP="00BF1615">
            <w:pPr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The Committee was asked to note the report of Craig Allison Chair of NAPE, first year in office and representative for the North of England.</w:t>
            </w:r>
          </w:p>
          <w:p w14:paraId="1972FB8C" w14:textId="7246A1D8" w:rsidR="000848A8" w:rsidRPr="00147935" w:rsidRDefault="000848A8" w:rsidP="00BF1615">
            <w:pPr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 xml:space="preserve">The Chair described the report as readable and </w:t>
            </w:r>
            <w:r w:rsidR="00B76068" w:rsidRPr="00147935">
              <w:rPr>
                <w:rFonts w:cs="Arial"/>
                <w:bCs/>
                <w:sz w:val="22"/>
                <w:szCs w:val="22"/>
              </w:rPr>
              <w:t xml:space="preserve">very </w:t>
            </w:r>
            <w:r w:rsidR="00791207" w:rsidRPr="00147935">
              <w:rPr>
                <w:rFonts w:cs="Arial"/>
                <w:bCs/>
                <w:sz w:val="22"/>
                <w:szCs w:val="22"/>
              </w:rPr>
              <w:t>good</w:t>
            </w:r>
            <w:r w:rsidRPr="00147935">
              <w:rPr>
                <w:rFonts w:cs="Arial"/>
                <w:bCs/>
                <w:sz w:val="22"/>
                <w:szCs w:val="22"/>
              </w:rPr>
              <w:t>.</w:t>
            </w:r>
          </w:p>
          <w:p w14:paraId="1E2AAC4E" w14:textId="77777777" w:rsidR="00663A90" w:rsidRPr="00147935" w:rsidRDefault="005824E8" w:rsidP="00BF1615">
            <w:pPr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Noted.</w:t>
            </w:r>
          </w:p>
          <w:p w14:paraId="328411E2" w14:textId="661DBEB9" w:rsidR="006B70F8" w:rsidRPr="00147935" w:rsidRDefault="006B70F8" w:rsidP="00BF1615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AEDA87" w14:textId="77777777" w:rsidR="00663A90" w:rsidRPr="00147935" w:rsidRDefault="00663A90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5824E8" w:rsidRPr="00147935" w14:paraId="449CBAFB" w14:textId="77777777" w:rsidTr="007E6D3F">
        <w:tc>
          <w:tcPr>
            <w:tcW w:w="846" w:type="dxa"/>
          </w:tcPr>
          <w:p w14:paraId="331CA768" w14:textId="56C2C590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10</w:t>
            </w:r>
          </w:p>
        </w:tc>
        <w:tc>
          <w:tcPr>
            <w:tcW w:w="7767" w:type="dxa"/>
          </w:tcPr>
          <w:p w14:paraId="1BE7A5BF" w14:textId="77777777" w:rsidR="005824E8" w:rsidRPr="00147935" w:rsidRDefault="005824E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b/>
                <w:bCs/>
                <w:sz w:val="22"/>
                <w:szCs w:val="22"/>
              </w:rPr>
              <w:t>Annual Report of Independent Consultants’ Network</w:t>
            </w:r>
          </w:p>
          <w:p w14:paraId="605C1794" w14:textId="77777777" w:rsidR="00EB3313" w:rsidRPr="00147935" w:rsidRDefault="00EB3313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7F0DAFC" w14:textId="0EBF6A42" w:rsidR="005824E8" w:rsidRPr="00147935" w:rsidRDefault="008E4EAA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The Committee was asked to note the report of Deirdre Wells Dip TP MRTPI the interim Chair of the RTPI Independent Consultants Network’s Steering Group dated January 2023.</w:t>
            </w:r>
          </w:p>
          <w:p w14:paraId="471DD79A" w14:textId="1B7AD1E5" w:rsidR="008E4EAA" w:rsidRPr="00147935" w:rsidRDefault="008E4EAA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51D2F051" w14:textId="38290F2A" w:rsidR="008E4EAA" w:rsidRPr="00147935" w:rsidRDefault="008E4EAA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Noted.</w:t>
            </w:r>
          </w:p>
          <w:p w14:paraId="6D4F0CD5" w14:textId="1BE4E9FA" w:rsidR="008E4EAA" w:rsidRPr="00147935" w:rsidRDefault="008E4EAA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CAC2F3C" w14:textId="77777777" w:rsidR="005824E8" w:rsidRPr="00147935" w:rsidRDefault="005824E8" w:rsidP="00BF1615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63A90" w:rsidRPr="00147935" w14:paraId="7A566A33" w14:textId="77777777" w:rsidTr="007E6D3F">
        <w:tc>
          <w:tcPr>
            <w:tcW w:w="846" w:type="dxa"/>
          </w:tcPr>
          <w:p w14:paraId="69BFBC4B" w14:textId="7C17A0DE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  <w:r w:rsidRPr="00147935">
              <w:rPr>
                <w:rFonts w:cs="Arial"/>
                <w:bCs/>
                <w:sz w:val="22"/>
                <w:szCs w:val="22"/>
              </w:rPr>
              <w:t>1</w:t>
            </w:r>
            <w:r w:rsidR="005824E8" w:rsidRPr="00147935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7767" w:type="dxa"/>
          </w:tcPr>
          <w:p w14:paraId="7BA7701F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47935">
              <w:rPr>
                <w:rFonts w:cs="Arial"/>
                <w:b/>
                <w:sz w:val="22"/>
                <w:szCs w:val="22"/>
              </w:rPr>
              <w:t>A.O.B</w:t>
            </w:r>
          </w:p>
          <w:p w14:paraId="327737C9" w14:textId="77777777" w:rsidR="00B76068" w:rsidRPr="00147935" w:rsidRDefault="00B76068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5CD50453" w14:textId="5F9CB715" w:rsidR="003763E0" w:rsidRPr="00147935" w:rsidRDefault="00147935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>None.</w:t>
            </w:r>
          </w:p>
          <w:p w14:paraId="4FAE901F" w14:textId="7A3BA279" w:rsidR="00663A90" w:rsidRPr="00147935" w:rsidRDefault="003763E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  <w:r w:rsidRPr="0014793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</w:tcPr>
          <w:p w14:paraId="76DBDE4F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6BEC6FDD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  <w:p w14:paraId="5372E8B6" w14:textId="77777777" w:rsidR="00663A90" w:rsidRPr="00147935" w:rsidRDefault="00663A90" w:rsidP="00BF1615">
            <w:pPr>
              <w:tabs>
                <w:tab w:val="left" w:pos="1080"/>
                <w:tab w:val="left" w:pos="126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0C1E9D02" w14:textId="3DFF6C20" w:rsidR="00586578" w:rsidRPr="00147935" w:rsidRDefault="006B70F8" w:rsidP="00BF1615">
      <w:pPr>
        <w:rPr>
          <w:rFonts w:cs="Arial"/>
        </w:rPr>
      </w:pPr>
      <w:r w:rsidRPr="00147935">
        <w:rPr>
          <w:rFonts w:cs="Arial"/>
        </w:rPr>
        <w:t xml:space="preserve">The meeting ended at </w:t>
      </w:r>
      <w:r w:rsidR="00FF0FCF" w:rsidRPr="00147935">
        <w:rPr>
          <w:rFonts w:cs="Arial"/>
        </w:rPr>
        <w:t>16:00</w:t>
      </w:r>
    </w:p>
    <w:p w14:paraId="647E6003" w14:textId="77777777" w:rsidR="00E6477B" w:rsidRPr="00147935" w:rsidRDefault="00E6477B" w:rsidP="00BF1615">
      <w:pPr>
        <w:rPr>
          <w:rFonts w:cs="Arial"/>
        </w:rPr>
      </w:pPr>
    </w:p>
    <w:sectPr w:rsidR="00E6477B" w:rsidRPr="00147935" w:rsidSect="00663A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1268" w:bottom="1418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474B" w14:textId="77777777" w:rsidR="00857ED0" w:rsidRDefault="00857ED0">
      <w:pPr>
        <w:spacing w:after="0" w:line="240" w:lineRule="auto"/>
      </w:pPr>
      <w:r>
        <w:separator/>
      </w:r>
    </w:p>
  </w:endnote>
  <w:endnote w:type="continuationSeparator" w:id="0">
    <w:p w14:paraId="01CD57BE" w14:textId="77777777" w:rsidR="00857ED0" w:rsidRDefault="0085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4F"/>
    <w:family w:val="auto"/>
    <w:pitch w:val="variable"/>
    <w:sig w:usb0="00000001" w:usb1="00000000" w:usb2="01002406" w:usb3="00000000" w:csb0="0008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F36C" w14:textId="77777777" w:rsidR="00DB74B5" w:rsidRDefault="00B84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15AC" w14:textId="77777777" w:rsidR="007A30D0" w:rsidRPr="006D5A8E" w:rsidRDefault="00874B25" w:rsidP="007F2DCD">
    <w:pPr>
      <w:pStyle w:val="Footer"/>
      <w:pBdr>
        <w:top w:val="single" w:sz="4" w:space="4" w:color="auto"/>
      </w:pBdr>
      <w:rPr>
        <w:rFonts w:cs="Arial"/>
        <w:smallCaps/>
        <w:color w:val="000000"/>
        <w:szCs w:val="20"/>
      </w:rPr>
    </w:pPr>
    <w:r w:rsidRPr="003E1991">
      <w:rPr>
        <w:rFonts w:cs="Arial"/>
        <w:color w:val="000000"/>
        <w:szCs w:val="20"/>
      </w:rPr>
      <w:tab/>
      <w:t xml:space="preserve">page </w:t>
    </w:r>
    <w:r w:rsidRPr="003E1991">
      <w:rPr>
        <w:rFonts w:cs="Arial"/>
        <w:b/>
        <w:smallCaps/>
        <w:color w:val="000000"/>
        <w:szCs w:val="20"/>
      </w:rPr>
      <w:fldChar w:fldCharType="begin"/>
    </w:r>
    <w:r w:rsidRPr="003E1991">
      <w:rPr>
        <w:rFonts w:cs="Arial"/>
        <w:b/>
        <w:smallCaps/>
        <w:color w:val="000000"/>
        <w:szCs w:val="20"/>
      </w:rPr>
      <w:instrText xml:space="preserve"> PAGE </w:instrText>
    </w:r>
    <w:r w:rsidRPr="003E1991">
      <w:rPr>
        <w:rFonts w:cs="Arial"/>
        <w:b/>
        <w:smallCaps/>
        <w:color w:val="000000"/>
        <w:szCs w:val="20"/>
      </w:rPr>
      <w:fldChar w:fldCharType="separate"/>
    </w:r>
    <w:r>
      <w:rPr>
        <w:rFonts w:cs="Arial"/>
        <w:b/>
        <w:smallCaps/>
        <w:noProof/>
        <w:color w:val="000000"/>
        <w:szCs w:val="20"/>
      </w:rPr>
      <w:t>8</w:t>
    </w:r>
    <w:r w:rsidRPr="003E1991">
      <w:rPr>
        <w:rFonts w:cs="Arial"/>
        <w:b/>
        <w:smallCaps/>
        <w:color w:val="000000"/>
        <w:szCs w:val="20"/>
      </w:rPr>
      <w:fldChar w:fldCharType="end"/>
    </w:r>
    <w:r w:rsidRPr="003E1991">
      <w:rPr>
        <w:rFonts w:cs="Arial"/>
        <w:smallCaps/>
        <w:color w:val="000000"/>
        <w:szCs w:val="20"/>
      </w:rPr>
      <w:t xml:space="preserve"> </w:t>
    </w:r>
    <w:r>
      <w:rPr>
        <w:rFonts w:cs="Arial"/>
        <w:color w:val="000000"/>
        <w:szCs w:val="20"/>
      </w:rPr>
      <w:t>of</w:t>
    </w:r>
    <w:r w:rsidRPr="003E1991">
      <w:rPr>
        <w:rFonts w:cs="Arial"/>
        <w:color w:val="000000"/>
        <w:szCs w:val="20"/>
      </w:rPr>
      <w:t xml:space="preserve"> </w:t>
    </w:r>
    <w:r w:rsidRPr="003E1991">
      <w:rPr>
        <w:rFonts w:cs="Arial"/>
        <w:smallCaps/>
        <w:color w:val="000000"/>
        <w:szCs w:val="20"/>
      </w:rPr>
      <w:fldChar w:fldCharType="begin"/>
    </w:r>
    <w:r w:rsidRPr="003E1991">
      <w:rPr>
        <w:rFonts w:cs="Arial"/>
        <w:smallCaps/>
        <w:color w:val="000000"/>
        <w:szCs w:val="20"/>
      </w:rPr>
      <w:instrText xml:space="preserve"> NUMPAGES </w:instrText>
    </w:r>
    <w:r w:rsidRPr="003E1991">
      <w:rPr>
        <w:rFonts w:cs="Arial"/>
        <w:smallCaps/>
        <w:color w:val="000000"/>
        <w:szCs w:val="20"/>
      </w:rPr>
      <w:fldChar w:fldCharType="separate"/>
    </w:r>
    <w:r>
      <w:rPr>
        <w:rFonts w:cs="Arial"/>
        <w:smallCaps/>
        <w:noProof/>
        <w:color w:val="000000"/>
        <w:szCs w:val="20"/>
      </w:rPr>
      <w:t>8</w:t>
    </w:r>
    <w:r w:rsidRPr="003E1991">
      <w:rPr>
        <w:rFonts w:cs="Arial"/>
        <w:smallCaps/>
        <w:color w:val="00000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2348" w14:textId="77777777" w:rsidR="007A30D0" w:rsidRPr="006D5A8E" w:rsidRDefault="00874B25" w:rsidP="007F2DCD">
    <w:pPr>
      <w:pStyle w:val="Footer"/>
      <w:pBdr>
        <w:top w:val="single" w:sz="4" w:space="4" w:color="auto"/>
      </w:pBdr>
      <w:rPr>
        <w:smallCaps/>
      </w:rPr>
    </w:pPr>
    <w:r w:rsidRPr="003E1991">
      <w:tab/>
      <w:t xml:space="preserve">page </w:t>
    </w:r>
    <w:r w:rsidRPr="003E1991">
      <w:rPr>
        <w:b/>
        <w:smallCaps/>
      </w:rPr>
      <w:fldChar w:fldCharType="begin"/>
    </w:r>
    <w:r w:rsidRPr="003E1991">
      <w:rPr>
        <w:b/>
        <w:smallCaps/>
      </w:rPr>
      <w:instrText xml:space="preserve"> PAGE </w:instrText>
    </w:r>
    <w:r w:rsidRPr="003E1991">
      <w:rPr>
        <w:b/>
        <w:smallCaps/>
      </w:rPr>
      <w:fldChar w:fldCharType="separate"/>
    </w:r>
    <w:r>
      <w:rPr>
        <w:b/>
        <w:smallCaps/>
        <w:noProof/>
      </w:rPr>
      <w:t>1</w:t>
    </w:r>
    <w:r w:rsidRPr="003E1991">
      <w:rPr>
        <w:b/>
        <w:smallCaps/>
      </w:rPr>
      <w:fldChar w:fldCharType="end"/>
    </w:r>
    <w:r w:rsidRPr="003E1991">
      <w:rPr>
        <w:smallCaps/>
      </w:rPr>
      <w:t xml:space="preserve"> </w:t>
    </w:r>
    <w:r>
      <w:t>of</w:t>
    </w:r>
    <w:r w:rsidRPr="003E1991">
      <w:t xml:space="preserve"> </w:t>
    </w:r>
    <w:r w:rsidRPr="003E1991">
      <w:rPr>
        <w:smallCaps/>
      </w:rPr>
      <w:fldChar w:fldCharType="begin"/>
    </w:r>
    <w:r w:rsidRPr="003E1991">
      <w:rPr>
        <w:smallCaps/>
      </w:rPr>
      <w:instrText xml:space="preserve"> NUMPAGES </w:instrText>
    </w:r>
    <w:r w:rsidRPr="003E1991">
      <w:rPr>
        <w:smallCaps/>
      </w:rPr>
      <w:fldChar w:fldCharType="separate"/>
    </w:r>
    <w:r>
      <w:rPr>
        <w:smallCaps/>
        <w:noProof/>
      </w:rPr>
      <w:t>8</w:t>
    </w:r>
    <w:r w:rsidRPr="003E1991">
      <w:rPr>
        <w:small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C149" w14:textId="77777777" w:rsidR="00857ED0" w:rsidRDefault="00857ED0">
      <w:pPr>
        <w:spacing w:after="0" w:line="240" w:lineRule="auto"/>
      </w:pPr>
      <w:r>
        <w:separator/>
      </w:r>
    </w:p>
  </w:footnote>
  <w:footnote w:type="continuationSeparator" w:id="0">
    <w:p w14:paraId="49DB41B2" w14:textId="77777777" w:rsidR="00857ED0" w:rsidRDefault="0085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1178" w14:textId="77777777" w:rsidR="00DB74B5" w:rsidRDefault="00B84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78172"/>
      <w:docPartObj>
        <w:docPartGallery w:val="Watermarks"/>
        <w:docPartUnique/>
      </w:docPartObj>
    </w:sdtPr>
    <w:sdtEndPr/>
    <w:sdtContent>
      <w:p w14:paraId="6D39B5C1" w14:textId="77777777" w:rsidR="007A30D0" w:rsidRDefault="00B84C99" w:rsidP="007F2DCD">
        <w:pPr>
          <w:pStyle w:val="Header"/>
          <w:pBdr>
            <w:top w:val="none" w:sz="0" w:space="0" w:color="auto"/>
          </w:pBdr>
        </w:pPr>
        <w:r>
          <w:rPr>
            <w:noProof/>
            <w:lang w:val="en-US"/>
          </w:rPr>
          <w:pict w14:anchorId="737775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42"/>
      <w:gridCol w:w="3686"/>
    </w:tblGrid>
    <w:tr w:rsidR="00DB74B5" w:rsidRPr="00982BEB" w14:paraId="7E429A59" w14:textId="77777777" w:rsidTr="0031245F">
      <w:trPr>
        <w:trHeight w:val="743"/>
      </w:trPr>
      <w:tc>
        <w:tcPr>
          <w:tcW w:w="1242" w:type="dxa"/>
        </w:tcPr>
        <w:p w14:paraId="270D774F" w14:textId="77777777" w:rsidR="00DB74B5" w:rsidRPr="00982BEB" w:rsidRDefault="00874B25" w:rsidP="00DB74B5">
          <w:pPr>
            <w:spacing w:after="0"/>
            <w:rPr>
              <w:rFonts w:cs="Arial"/>
              <w:i/>
            </w:rPr>
          </w:pPr>
          <w:r>
            <w:rPr>
              <w:rFonts w:cs="Arial"/>
              <w:i/>
            </w:rPr>
            <w:t>R</w:t>
          </w:r>
          <w:r w:rsidRPr="00982BEB">
            <w:rPr>
              <w:rFonts w:cs="Arial"/>
              <w:i/>
            </w:rPr>
            <w:t>eference</w:t>
          </w:r>
        </w:p>
      </w:tc>
      <w:tc>
        <w:tcPr>
          <w:tcW w:w="3686" w:type="dxa"/>
        </w:tcPr>
        <w:p w14:paraId="4AA6DB94" w14:textId="77777777" w:rsidR="00DB74B5" w:rsidRPr="00982BEB" w:rsidRDefault="00874B25" w:rsidP="00DB74B5">
          <w:pPr>
            <w:spacing w:after="0"/>
            <w:rPr>
              <w:rFonts w:cs="Arial"/>
            </w:rPr>
          </w:pPr>
          <w:r>
            <w:rPr>
              <w:rFonts w:cs="Arial"/>
            </w:rPr>
            <w:t>PPRC23/MAR08/03B</w:t>
          </w:r>
        </w:p>
      </w:tc>
    </w:tr>
    <w:tr w:rsidR="00DB74B5" w:rsidRPr="00982BEB" w14:paraId="5DCBEEC4" w14:textId="77777777" w:rsidTr="0031245F">
      <w:trPr>
        <w:trHeight w:val="231"/>
      </w:trPr>
      <w:tc>
        <w:tcPr>
          <w:tcW w:w="1242" w:type="dxa"/>
        </w:tcPr>
        <w:p w14:paraId="5C284383" w14:textId="77777777" w:rsidR="00DB74B5" w:rsidRPr="00982BEB" w:rsidRDefault="00874B25" w:rsidP="00DB74B5">
          <w:pPr>
            <w:spacing w:after="0"/>
            <w:rPr>
              <w:rFonts w:cs="Arial"/>
              <w:i/>
            </w:rPr>
          </w:pPr>
          <w:r w:rsidRPr="00982BEB">
            <w:rPr>
              <w:rFonts w:cs="Arial"/>
              <w:i/>
            </w:rPr>
            <w:t xml:space="preserve">Date </w:t>
          </w:r>
        </w:p>
      </w:tc>
      <w:tc>
        <w:tcPr>
          <w:tcW w:w="3686" w:type="dxa"/>
        </w:tcPr>
        <w:p w14:paraId="0FB2EA1C" w14:textId="77777777" w:rsidR="00DB74B5" w:rsidRPr="00982BEB" w:rsidRDefault="00874B25" w:rsidP="00DB74B5">
          <w:pPr>
            <w:rPr>
              <w:rFonts w:cs="Arial"/>
            </w:rPr>
          </w:pPr>
          <w:r>
            <w:rPr>
              <w:rFonts w:cs="Arial"/>
            </w:rPr>
            <w:t>March 8 2023</w:t>
          </w:r>
        </w:p>
      </w:tc>
    </w:tr>
  </w:tbl>
  <w:p w14:paraId="7393B0B0" w14:textId="77777777" w:rsidR="007A30D0" w:rsidRDefault="00874B25" w:rsidP="000D5C22">
    <w:pPr>
      <w:jc w:val="right"/>
      <w:rPr>
        <w:rFonts w:cs="Arial"/>
      </w:rPr>
    </w:pPr>
    <w:r>
      <w:rPr>
        <w:rFonts w:cs="Arial"/>
        <w:noProof/>
        <w:lang w:eastAsia="en-GB"/>
      </w:rPr>
      <w:drawing>
        <wp:inline distT="0" distB="0" distL="0" distR="0" wp14:anchorId="4EE4D621" wp14:editId="3BF793B8">
          <wp:extent cx="2131728" cy="7810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PI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828" cy="78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E47D4" w14:textId="77777777" w:rsidR="007A30D0" w:rsidRDefault="00B84C99" w:rsidP="007F2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35F"/>
    <w:multiLevelType w:val="hybridMultilevel"/>
    <w:tmpl w:val="8AF8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D98"/>
    <w:multiLevelType w:val="hybridMultilevel"/>
    <w:tmpl w:val="23E8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68A"/>
    <w:multiLevelType w:val="hybridMultilevel"/>
    <w:tmpl w:val="E75EA3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407F5E"/>
    <w:multiLevelType w:val="hybridMultilevel"/>
    <w:tmpl w:val="297CE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B54"/>
    <w:multiLevelType w:val="hybridMultilevel"/>
    <w:tmpl w:val="8E8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3813"/>
    <w:multiLevelType w:val="hybridMultilevel"/>
    <w:tmpl w:val="001ED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43983"/>
    <w:multiLevelType w:val="multilevel"/>
    <w:tmpl w:val="12C430B4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2F1928"/>
    <w:multiLevelType w:val="hybridMultilevel"/>
    <w:tmpl w:val="81F4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E31D5"/>
    <w:multiLevelType w:val="hybridMultilevel"/>
    <w:tmpl w:val="2DB26094"/>
    <w:lvl w:ilvl="0" w:tplc="36C8DF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00E1"/>
    <w:multiLevelType w:val="hybridMultilevel"/>
    <w:tmpl w:val="8D3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F2541"/>
    <w:multiLevelType w:val="hybridMultilevel"/>
    <w:tmpl w:val="E4EE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151A"/>
    <w:multiLevelType w:val="hybridMultilevel"/>
    <w:tmpl w:val="0FBC0BAE"/>
    <w:lvl w:ilvl="0" w:tplc="7DB4E4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6C7C"/>
    <w:multiLevelType w:val="hybridMultilevel"/>
    <w:tmpl w:val="61CC2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40AE3"/>
    <w:multiLevelType w:val="hybridMultilevel"/>
    <w:tmpl w:val="BF64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35581"/>
    <w:multiLevelType w:val="multilevel"/>
    <w:tmpl w:val="12C430B4"/>
    <w:numStyleLink w:val="Numberedheadings"/>
  </w:abstractNum>
  <w:abstractNum w:abstractNumId="15" w15:restartNumberingAfterBreak="0">
    <w:nsid w:val="69AB1F0F"/>
    <w:multiLevelType w:val="hybridMultilevel"/>
    <w:tmpl w:val="634C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922D1"/>
    <w:multiLevelType w:val="hybridMultilevel"/>
    <w:tmpl w:val="D3C82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0227EC"/>
    <w:multiLevelType w:val="hybridMultilevel"/>
    <w:tmpl w:val="6414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81911"/>
    <w:multiLevelType w:val="hybridMultilevel"/>
    <w:tmpl w:val="C61A5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61413"/>
    <w:multiLevelType w:val="hybridMultilevel"/>
    <w:tmpl w:val="BC84B7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850639D"/>
    <w:multiLevelType w:val="hybridMultilevel"/>
    <w:tmpl w:val="A7A60E04"/>
    <w:lvl w:ilvl="0" w:tplc="11927E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38347">
    <w:abstractNumId w:val="6"/>
  </w:num>
  <w:num w:numId="2" w16cid:durableId="583343438">
    <w:abstractNumId w:val="14"/>
  </w:num>
  <w:num w:numId="3" w16cid:durableId="26225291">
    <w:abstractNumId w:val="8"/>
  </w:num>
  <w:num w:numId="4" w16cid:durableId="1511219679">
    <w:abstractNumId w:val="9"/>
  </w:num>
  <w:num w:numId="5" w16cid:durableId="1735200226">
    <w:abstractNumId w:val="10"/>
  </w:num>
  <w:num w:numId="6" w16cid:durableId="1203253553">
    <w:abstractNumId w:val="19"/>
  </w:num>
  <w:num w:numId="7" w16cid:durableId="1785421962">
    <w:abstractNumId w:val="2"/>
  </w:num>
  <w:num w:numId="8" w16cid:durableId="1208755463">
    <w:abstractNumId w:val="16"/>
  </w:num>
  <w:num w:numId="9" w16cid:durableId="606502891">
    <w:abstractNumId w:val="17"/>
  </w:num>
  <w:num w:numId="10" w16cid:durableId="608390443">
    <w:abstractNumId w:val="1"/>
  </w:num>
  <w:num w:numId="11" w16cid:durableId="1101295637">
    <w:abstractNumId w:val="4"/>
  </w:num>
  <w:num w:numId="12" w16cid:durableId="944847118">
    <w:abstractNumId w:val="5"/>
  </w:num>
  <w:num w:numId="13" w16cid:durableId="359405019">
    <w:abstractNumId w:val="7"/>
  </w:num>
  <w:num w:numId="14" w16cid:durableId="687566740">
    <w:abstractNumId w:val="0"/>
  </w:num>
  <w:num w:numId="15" w16cid:durableId="1630547226">
    <w:abstractNumId w:val="12"/>
  </w:num>
  <w:num w:numId="16" w16cid:durableId="116801546">
    <w:abstractNumId w:val="13"/>
  </w:num>
  <w:num w:numId="17" w16cid:durableId="319895419">
    <w:abstractNumId w:val="3"/>
  </w:num>
  <w:num w:numId="18" w16cid:durableId="1010721888">
    <w:abstractNumId w:val="18"/>
  </w:num>
  <w:num w:numId="19" w16cid:durableId="1766923811">
    <w:abstractNumId w:val="15"/>
  </w:num>
  <w:num w:numId="20" w16cid:durableId="1785734861">
    <w:abstractNumId w:val="11"/>
  </w:num>
  <w:num w:numId="21" w16cid:durableId="2007249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90"/>
    <w:rsid w:val="00011690"/>
    <w:rsid w:val="00034E0F"/>
    <w:rsid w:val="00043A3E"/>
    <w:rsid w:val="00047E90"/>
    <w:rsid w:val="00055FD5"/>
    <w:rsid w:val="00071A3F"/>
    <w:rsid w:val="00075E61"/>
    <w:rsid w:val="00081753"/>
    <w:rsid w:val="000848A8"/>
    <w:rsid w:val="000859B7"/>
    <w:rsid w:val="00090CBD"/>
    <w:rsid w:val="000B64D2"/>
    <w:rsid w:val="000C3E01"/>
    <w:rsid w:val="000E581E"/>
    <w:rsid w:val="000F2493"/>
    <w:rsid w:val="000F60EB"/>
    <w:rsid w:val="0010498A"/>
    <w:rsid w:val="00124D48"/>
    <w:rsid w:val="00143F4F"/>
    <w:rsid w:val="00147935"/>
    <w:rsid w:val="00172559"/>
    <w:rsid w:val="00172D78"/>
    <w:rsid w:val="00177AEC"/>
    <w:rsid w:val="001A61EF"/>
    <w:rsid w:val="001B3513"/>
    <w:rsid w:val="001D477D"/>
    <w:rsid w:val="001E7A72"/>
    <w:rsid w:val="001F4488"/>
    <w:rsid w:val="00201C9C"/>
    <w:rsid w:val="00205E52"/>
    <w:rsid w:val="002664EE"/>
    <w:rsid w:val="00291551"/>
    <w:rsid w:val="00296BB8"/>
    <w:rsid w:val="002A2691"/>
    <w:rsid w:val="002A5BBF"/>
    <w:rsid w:val="00303759"/>
    <w:rsid w:val="00324A4C"/>
    <w:rsid w:val="003532D7"/>
    <w:rsid w:val="0036699F"/>
    <w:rsid w:val="0036710A"/>
    <w:rsid w:val="003763E0"/>
    <w:rsid w:val="003816C4"/>
    <w:rsid w:val="003A47A2"/>
    <w:rsid w:val="003B5B4A"/>
    <w:rsid w:val="003F6520"/>
    <w:rsid w:val="00404DC0"/>
    <w:rsid w:val="00445B31"/>
    <w:rsid w:val="004602BE"/>
    <w:rsid w:val="00470039"/>
    <w:rsid w:val="004740C3"/>
    <w:rsid w:val="00475875"/>
    <w:rsid w:val="00482E95"/>
    <w:rsid w:val="00490935"/>
    <w:rsid w:val="00495CD2"/>
    <w:rsid w:val="004B41BB"/>
    <w:rsid w:val="004C02F2"/>
    <w:rsid w:val="004E1B73"/>
    <w:rsid w:val="004E7ECF"/>
    <w:rsid w:val="004F077F"/>
    <w:rsid w:val="005146CD"/>
    <w:rsid w:val="00525CEE"/>
    <w:rsid w:val="0053653B"/>
    <w:rsid w:val="0054136C"/>
    <w:rsid w:val="00543F2F"/>
    <w:rsid w:val="005548B5"/>
    <w:rsid w:val="005821E0"/>
    <w:rsid w:val="005824E8"/>
    <w:rsid w:val="005827BF"/>
    <w:rsid w:val="00583579"/>
    <w:rsid w:val="00586578"/>
    <w:rsid w:val="00591574"/>
    <w:rsid w:val="005B508A"/>
    <w:rsid w:val="005B6772"/>
    <w:rsid w:val="005E2F50"/>
    <w:rsid w:val="005E66D4"/>
    <w:rsid w:val="0060062F"/>
    <w:rsid w:val="00650344"/>
    <w:rsid w:val="006558F3"/>
    <w:rsid w:val="00663A90"/>
    <w:rsid w:val="00667FBD"/>
    <w:rsid w:val="0069472F"/>
    <w:rsid w:val="006A4DAC"/>
    <w:rsid w:val="006A6625"/>
    <w:rsid w:val="006B70F8"/>
    <w:rsid w:val="006E65EB"/>
    <w:rsid w:val="00712164"/>
    <w:rsid w:val="00725A93"/>
    <w:rsid w:val="00725B50"/>
    <w:rsid w:val="00727940"/>
    <w:rsid w:val="00730421"/>
    <w:rsid w:val="00751940"/>
    <w:rsid w:val="00774448"/>
    <w:rsid w:val="00777E50"/>
    <w:rsid w:val="00783B34"/>
    <w:rsid w:val="00791207"/>
    <w:rsid w:val="00791DD2"/>
    <w:rsid w:val="007A7F58"/>
    <w:rsid w:val="007F55FE"/>
    <w:rsid w:val="007F5A30"/>
    <w:rsid w:val="008000CD"/>
    <w:rsid w:val="00800C59"/>
    <w:rsid w:val="00851502"/>
    <w:rsid w:val="00857ED0"/>
    <w:rsid w:val="008714D6"/>
    <w:rsid w:val="00874A2E"/>
    <w:rsid w:val="00874B25"/>
    <w:rsid w:val="00890335"/>
    <w:rsid w:val="008C2933"/>
    <w:rsid w:val="008E09AD"/>
    <w:rsid w:val="008E1FF1"/>
    <w:rsid w:val="008E4EAA"/>
    <w:rsid w:val="008F7278"/>
    <w:rsid w:val="009024E8"/>
    <w:rsid w:val="0090426C"/>
    <w:rsid w:val="009107CC"/>
    <w:rsid w:val="00927E00"/>
    <w:rsid w:val="00935EF5"/>
    <w:rsid w:val="0096080E"/>
    <w:rsid w:val="0096388E"/>
    <w:rsid w:val="0096511D"/>
    <w:rsid w:val="00982608"/>
    <w:rsid w:val="00983516"/>
    <w:rsid w:val="009865B1"/>
    <w:rsid w:val="009A4187"/>
    <w:rsid w:val="009A5844"/>
    <w:rsid w:val="009B6C42"/>
    <w:rsid w:val="00A05C48"/>
    <w:rsid w:val="00A14D84"/>
    <w:rsid w:val="00A16A3A"/>
    <w:rsid w:val="00A16D75"/>
    <w:rsid w:val="00A21670"/>
    <w:rsid w:val="00A4310E"/>
    <w:rsid w:val="00A862DD"/>
    <w:rsid w:val="00AB76BE"/>
    <w:rsid w:val="00AC6B3B"/>
    <w:rsid w:val="00AF03C8"/>
    <w:rsid w:val="00B03BD1"/>
    <w:rsid w:val="00B17F14"/>
    <w:rsid w:val="00B27537"/>
    <w:rsid w:val="00B34EB0"/>
    <w:rsid w:val="00B7464E"/>
    <w:rsid w:val="00B76068"/>
    <w:rsid w:val="00B76A02"/>
    <w:rsid w:val="00B84C99"/>
    <w:rsid w:val="00BD6ED2"/>
    <w:rsid w:val="00BF1615"/>
    <w:rsid w:val="00C046A1"/>
    <w:rsid w:val="00C05DFC"/>
    <w:rsid w:val="00C27260"/>
    <w:rsid w:val="00C30D40"/>
    <w:rsid w:val="00C43011"/>
    <w:rsid w:val="00C52D37"/>
    <w:rsid w:val="00C86927"/>
    <w:rsid w:val="00C95877"/>
    <w:rsid w:val="00CB189B"/>
    <w:rsid w:val="00CB3D5F"/>
    <w:rsid w:val="00CC706A"/>
    <w:rsid w:val="00D06A9D"/>
    <w:rsid w:val="00D11AF0"/>
    <w:rsid w:val="00D120F4"/>
    <w:rsid w:val="00D20C68"/>
    <w:rsid w:val="00D24CF7"/>
    <w:rsid w:val="00D64284"/>
    <w:rsid w:val="00D666B8"/>
    <w:rsid w:val="00D824C0"/>
    <w:rsid w:val="00DB6165"/>
    <w:rsid w:val="00DD48ED"/>
    <w:rsid w:val="00DD6265"/>
    <w:rsid w:val="00DF1FC6"/>
    <w:rsid w:val="00E05C1F"/>
    <w:rsid w:val="00E212F1"/>
    <w:rsid w:val="00E6477B"/>
    <w:rsid w:val="00E708DB"/>
    <w:rsid w:val="00E7547C"/>
    <w:rsid w:val="00E92E97"/>
    <w:rsid w:val="00EA47C7"/>
    <w:rsid w:val="00EB070D"/>
    <w:rsid w:val="00EB2842"/>
    <w:rsid w:val="00EB3313"/>
    <w:rsid w:val="00EB68EF"/>
    <w:rsid w:val="00EC0358"/>
    <w:rsid w:val="00EF1441"/>
    <w:rsid w:val="00F13494"/>
    <w:rsid w:val="00F454FC"/>
    <w:rsid w:val="00F47805"/>
    <w:rsid w:val="00F55773"/>
    <w:rsid w:val="00F6220F"/>
    <w:rsid w:val="00F63EB0"/>
    <w:rsid w:val="00F66D44"/>
    <w:rsid w:val="00F66E1C"/>
    <w:rsid w:val="00FC6815"/>
    <w:rsid w:val="00FD74C1"/>
    <w:rsid w:val="00FE672A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198C"/>
  <w15:chartTrackingRefBased/>
  <w15:docId w15:val="{880EBA2E-AE06-4EED-ABF3-6B3FF0F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90"/>
    <w:pPr>
      <w:spacing w:after="20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EC0358"/>
    <w:pPr>
      <w:keepNext/>
      <w:tabs>
        <w:tab w:val="left" w:pos="1260"/>
      </w:tabs>
      <w:spacing w:after="0"/>
      <w:ind w:left="567" w:hanging="567"/>
      <w:outlineLvl w:val="0"/>
    </w:pPr>
    <w:rPr>
      <w:rFonts w:eastAsia="AppleGothic" w:cs="Arial"/>
      <w:b/>
      <w:bCs/>
      <w:color w:val="509CC6"/>
      <w:kern w:val="32"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663A90"/>
    <w:pPr>
      <w:keepNext/>
      <w:numPr>
        <w:ilvl w:val="1"/>
        <w:numId w:val="2"/>
      </w:numPr>
      <w:spacing w:before="160" w:after="80"/>
      <w:outlineLvl w:val="1"/>
    </w:pPr>
    <w:rPr>
      <w:rFonts w:cs="Arial"/>
      <w:b/>
      <w:bCs/>
      <w:iCs/>
      <w:color w:val="33779D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663A90"/>
    <w:pPr>
      <w:keepNext/>
      <w:numPr>
        <w:ilvl w:val="2"/>
        <w:numId w:val="2"/>
      </w:numPr>
      <w:spacing w:before="120" w:after="80"/>
      <w:outlineLvl w:val="2"/>
    </w:pPr>
    <w:rPr>
      <w:rFonts w:cs="Arial"/>
      <w:b/>
      <w:bCs/>
      <w:color w:val="004B74"/>
      <w:sz w:val="24"/>
      <w:szCs w:val="28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63A90"/>
    <w:pPr>
      <w:keepLines/>
      <w:numPr>
        <w:ilvl w:val="3"/>
      </w:numPr>
      <w:spacing w:before="200" w:after="0"/>
      <w:outlineLvl w:val="3"/>
    </w:pPr>
    <w:rPr>
      <w:rFonts w:eastAsia="Times New Roman" w:cs="Times New Roman"/>
      <w:b w:val="0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358"/>
    <w:rPr>
      <w:rFonts w:ascii="Arial" w:eastAsia="AppleGothic" w:hAnsi="Arial" w:cs="Arial"/>
      <w:b/>
      <w:bCs/>
      <w:color w:val="509CC6"/>
      <w:kern w:val="32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663A90"/>
    <w:rPr>
      <w:rFonts w:ascii="Arial" w:eastAsia="Calibri" w:hAnsi="Arial" w:cs="Arial"/>
      <w:b/>
      <w:bCs/>
      <w:iCs/>
      <w:color w:val="33779D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663A90"/>
    <w:rPr>
      <w:rFonts w:ascii="Arial" w:eastAsia="Calibri" w:hAnsi="Arial" w:cs="Arial"/>
      <w:b/>
      <w:bCs/>
      <w:color w:val="004B74"/>
      <w:sz w:val="24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63A90"/>
    <w:rPr>
      <w:rFonts w:ascii="Arial" w:eastAsia="Times New Roman" w:hAnsi="Arial" w:cs="Times New Roman"/>
      <w:bCs/>
      <w:iCs/>
      <w:color w:val="004B74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3A90"/>
    <w:pPr>
      <w:pBdr>
        <w:top w:val="single" w:sz="4" w:space="1" w:color="auto"/>
      </w:pBd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A90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rsid w:val="00663A90"/>
    <w:pPr>
      <w:pBdr>
        <w:top w:val="single" w:sz="4" w:space="1" w:color="auto"/>
      </w:pBdr>
      <w:tabs>
        <w:tab w:val="right" w:pos="9923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3A90"/>
    <w:rPr>
      <w:rFonts w:ascii="Arial" w:eastAsia="Calibri" w:hAnsi="Arial" w:cs="Times New Roman"/>
      <w:sz w:val="16"/>
    </w:rPr>
  </w:style>
  <w:style w:type="paragraph" w:styleId="ListParagraph">
    <w:name w:val="List Paragraph"/>
    <w:basedOn w:val="Normal"/>
    <w:uiPriority w:val="34"/>
    <w:qFormat/>
    <w:rsid w:val="00663A90"/>
    <w:pPr>
      <w:numPr>
        <w:numId w:val="3"/>
      </w:numPr>
      <w:tabs>
        <w:tab w:val="left" w:pos="1080"/>
        <w:tab w:val="left" w:pos="1260"/>
      </w:tabs>
      <w:spacing w:after="0" w:line="240" w:lineRule="auto"/>
      <w:contextualSpacing/>
    </w:pPr>
    <w:rPr>
      <w:rFonts w:eastAsia="Times New Roman" w:cs="Arial"/>
      <w:lang w:eastAsia="en-GB"/>
    </w:rPr>
  </w:style>
  <w:style w:type="table" w:styleId="TableGrid">
    <w:name w:val="Table Grid"/>
    <w:basedOn w:val="TableNormal"/>
    <w:uiPriority w:val="59"/>
    <w:rsid w:val="00663A90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beredheadings">
    <w:name w:val="Numbered headings"/>
    <w:uiPriority w:val="99"/>
    <w:rsid w:val="00663A90"/>
    <w:pPr>
      <w:numPr>
        <w:numId w:val="1"/>
      </w:numPr>
    </w:pPr>
  </w:style>
  <w:style w:type="character" w:styleId="Hyperlink">
    <w:name w:val="Hyperlink"/>
    <w:rsid w:val="009107CC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043A3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503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7464E"/>
  </w:style>
  <w:style w:type="paragraph" w:styleId="Revision">
    <w:name w:val="Revision"/>
    <w:hidden/>
    <w:uiPriority w:val="99"/>
    <w:semiHidden/>
    <w:rsid w:val="00EA47C7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ie/en/publication/c6f60-draft-planning-and-development-bill-2022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tpi.org.uk/policy-and-research/research/research-strateg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tpi.org.uk/policy-and-research/research/research-strategy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6" ma:contentTypeDescription="Create a new document." ma:contentTypeScope="" ma:versionID="e9f242b7aaa6a91b27b334a8dfd1b3f6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d3210847979da91192a50d897eb0b50b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32105-A17D-4B82-BF86-68B8ED1699A9}">
  <ds:schemaRefs>
    <ds:schemaRef ds:uri="http://schemas.microsoft.com/office/2006/metadata/properties"/>
    <ds:schemaRef ds:uri="http://schemas.microsoft.com/office/infopath/2007/PartnerControls"/>
    <ds:schemaRef ds:uri="a307ddb7-a157-47b7-ad87-537fd7be41b1"/>
    <ds:schemaRef ds:uri="1eba4b97-86a2-43fe-8251-1ed1f7311058"/>
  </ds:schemaRefs>
</ds:datastoreItem>
</file>

<file path=customXml/itemProps2.xml><?xml version="1.0" encoding="utf-8"?>
<ds:datastoreItem xmlns:ds="http://schemas.openxmlformats.org/officeDocument/2006/customXml" ds:itemID="{4DD8EFE4-5D40-4401-82AE-D7631530B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338F0-9E61-4D54-A667-26B926127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Millar</dc:creator>
  <cp:keywords/>
  <dc:description/>
  <cp:lastModifiedBy>Lizzy Millar</cp:lastModifiedBy>
  <cp:revision>3</cp:revision>
  <dcterms:created xsi:type="dcterms:W3CDTF">2023-03-20T15:43:00Z</dcterms:created>
  <dcterms:modified xsi:type="dcterms:W3CDTF">2023-03-20T15:46:00Z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0x01010080690BBBC6B69E48AEE4C85D3250EEAF</vt:lpwstr>
  </property>
  <property fmtid="{D5CDD505-2E9C-101B-9397-08002B2CF9AE}" pid="3" name="MediaServiceImageTags">
    <vt:lpwstr/>
  </property>
</Properties>
</file>