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A8" w:rsidRPr="00241888" w:rsidRDefault="00BD53A8" w:rsidP="00BD53A8">
      <w:pPr>
        <w:pStyle w:val="NormalWeb"/>
        <w:rPr>
          <w:rFonts w:ascii="Arial" w:hAnsi="Arial" w:cs="Arial"/>
          <w:sz w:val="22"/>
          <w:szCs w:val="22"/>
        </w:rPr>
      </w:pPr>
      <w:r w:rsidRPr="00241888">
        <w:rPr>
          <w:rFonts w:ascii="Arial" w:hAnsi="Arial" w:cs="Arial"/>
          <w:sz w:val="22"/>
          <w:szCs w:val="22"/>
        </w:rPr>
        <w:t xml:space="preserve">2019’s RTPI Scotland and </w:t>
      </w:r>
      <w:proofErr w:type="spellStart"/>
      <w:r w:rsidRPr="00241888">
        <w:rPr>
          <w:rFonts w:ascii="Arial" w:hAnsi="Arial" w:cs="Arial"/>
          <w:sz w:val="22"/>
          <w:szCs w:val="22"/>
        </w:rPr>
        <w:t>Addleshaw</w:t>
      </w:r>
      <w:proofErr w:type="spellEnd"/>
      <w:r w:rsidRPr="00241888">
        <w:rPr>
          <w:rFonts w:ascii="Arial" w:hAnsi="Arial" w:cs="Arial"/>
          <w:sz w:val="22"/>
          <w:szCs w:val="22"/>
        </w:rPr>
        <w:t xml:space="preserve"> Goddard Annual Planning Debate took place at Glasgow on 28 November at The Corinthian Club, 191 Ingram St, Glasgow G1 1DA.</w:t>
      </w:r>
    </w:p>
    <w:p w:rsidR="00BD53A8" w:rsidRPr="00241888" w:rsidRDefault="00BD53A8" w:rsidP="00BD53A8">
      <w:pPr>
        <w:pStyle w:val="NormalWeb"/>
        <w:rPr>
          <w:rFonts w:ascii="Arial" w:hAnsi="Arial" w:cs="Arial"/>
          <w:sz w:val="22"/>
          <w:szCs w:val="22"/>
        </w:rPr>
      </w:pPr>
      <w:r w:rsidRPr="00241888">
        <w:rPr>
          <w:rStyle w:val="Strong"/>
          <w:rFonts w:ascii="Arial" w:hAnsi="Arial" w:cs="Arial"/>
          <w:sz w:val="22"/>
          <w:szCs w:val="22"/>
        </w:rPr>
        <w:t>How do we break the infrastructure deadlock?</w:t>
      </w:r>
    </w:p>
    <w:p w:rsidR="00BD53A8" w:rsidRPr="00241888" w:rsidRDefault="00BD53A8" w:rsidP="00BD53A8">
      <w:pPr>
        <w:pStyle w:val="NormalWeb"/>
        <w:rPr>
          <w:rFonts w:ascii="Arial" w:hAnsi="Arial" w:cs="Arial"/>
          <w:sz w:val="22"/>
          <w:szCs w:val="22"/>
        </w:rPr>
      </w:pPr>
      <w:r w:rsidRPr="00241888">
        <w:rPr>
          <w:rFonts w:ascii="Arial" w:hAnsi="Arial" w:cs="Arial"/>
          <w:sz w:val="22"/>
          <w:szCs w:val="22"/>
        </w:rPr>
        <w:t>There is a growing recognition of the need for a more infrastructure–led approach to development but there are a number of issues in how to deliver this, including:</w:t>
      </w:r>
    </w:p>
    <w:p w:rsidR="00BD53A8" w:rsidRPr="00241888" w:rsidRDefault="00BD53A8" w:rsidP="00BD53A8">
      <w:pPr>
        <w:pStyle w:val="NormalWeb"/>
        <w:rPr>
          <w:rFonts w:ascii="Arial" w:hAnsi="Arial" w:cs="Arial"/>
          <w:sz w:val="22"/>
          <w:szCs w:val="22"/>
        </w:rPr>
      </w:pPr>
      <w:r w:rsidRPr="00241888">
        <w:rPr>
          <w:rFonts w:ascii="Arial" w:hAnsi="Arial" w:cs="Arial"/>
          <w:sz w:val="22"/>
          <w:szCs w:val="22"/>
        </w:rPr>
        <w:t xml:space="preserve">• </w:t>
      </w:r>
      <w:r w:rsidRPr="00241888">
        <w:rPr>
          <w:rStyle w:val="Strong"/>
          <w:rFonts w:ascii="Arial" w:hAnsi="Arial" w:cs="Arial"/>
          <w:sz w:val="22"/>
          <w:szCs w:val="22"/>
        </w:rPr>
        <w:t>Funding</w:t>
      </w:r>
      <w:r w:rsidRPr="00241888">
        <w:rPr>
          <w:rFonts w:ascii="Arial" w:hAnsi="Arial" w:cs="Arial"/>
          <w:sz w:val="22"/>
          <w:szCs w:val="22"/>
        </w:rPr>
        <w:t xml:space="preserve"> - What new models should we explore to fund infrastructure in the future? Are Section 75 agreements enough? Will the new infrastructure levy generate the resources required? How can we fund the infrastructure and services generated from developing new housing such as schools, doctor surgeries and community facilities?</w:t>
      </w:r>
      <w:r w:rsidRPr="00241888">
        <w:rPr>
          <w:rFonts w:ascii="Arial" w:hAnsi="Arial" w:cs="Arial"/>
          <w:sz w:val="22"/>
          <w:szCs w:val="22"/>
        </w:rPr>
        <w:br/>
        <w:t xml:space="preserve">• </w:t>
      </w:r>
      <w:r w:rsidRPr="00241888">
        <w:rPr>
          <w:rStyle w:val="Strong"/>
          <w:rFonts w:ascii="Arial" w:hAnsi="Arial" w:cs="Arial"/>
          <w:sz w:val="22"/>
          <w:szCs w:val="22"/>
        </w:rPr>
        <w:t>Coordination</w:t>
      </w:r>
      <w:r w:rsidRPr="00241888">
        <w:rPr>
          <w:rFonts w:ascii="Arial" w:hAnsi="Arial" w:cs="Arial"/>
          <w:sz w:val="22"/>
          <w:szCs w:val="22"/>
        </w:rPr>
        <w:t xml:space="preserve"> – How do we better join up approaches to infrastructure such as city region deals, regional transport strategies, the infrastructure investment plan, the national planning framework, new approaches to regional planning, the emerging Regional Economic Partnerships? How do we maximise benefits from public and private investments? Is there a cultural change required in organisations?</w:t>
      </w:r>
      <w:r w:rsidRPr="00241888">
        <w:rPr>
          <w:rFonts w:ascii="Arial" w:hAnsi="Arial" w:cs="Arial"/>
          <w:sz w:val="22"/>
          <w:szCs w:val="22"/>
        </w:rPr>
        <w:br/>
        <w:t xml:space="preserve">• </w:t>
      </w:r>
      <w:r w:rsidRPr="00241888">
        <w:rPr>
          <w:rStyle w:val="Strong"/>
          <w:rFonts w:ascii="Arial" w:hAnsi="Arial" w:cs="Arial"/>
          <w:sz w:val="22"/>
          <w:szCs w:val="22"/>
        </w:rPr>
        <w:t>Decision making</w:t>
      </w:r>
      <w:r w:rsidRPr="00241888">
        <w:rPr>
          <w:rFonts w:ascii="Arial" w:hAnsi="Arial" w:cs="Arial"/>
          <w:sz w:val="22"/>
          <w:szCs w:val="22"/>
        </w:rPr>
        <w:t xml:space="preserve"> – How can we take a longer term approach to decision on infrastructure? Can and should we de-politicise decisions? How can this be coordinated nationally, regionally and locally? Is there a role for the National Planning Framework and if so, how does it need to change? How should we assess and measure the success of infrastructure investment?</w:t>
      </w:r>
      <w:r w:rsidRPr="00241888">
        <w:rPr>
          <w:rFonts w:ascii="Arial" w:hAnsi="Arial" w:cs="Arial"/>
          <w:sz w:val="22"/>
          <w:szCs w:val="22"/>
        </w:rPr>
        <w:br/>
        <w:t xml:space="preserve">• </w:t>
      </w:r>
      <w:r w:rsidRPr="00241888">
        <w:rPr>
          <w:rStyle w:val="Strong"/>
          <w:rFonts w:ascii="Arial" w:hAnsi="Arial" w:cs="Arial"/>
          <w:sz w:val="22"/>
          <w:szCs w:val="22"/>
        </w:rPr>
        <w:t>Purpose</w:t>
      </w:r>
      <w:r w:rsidRPr="00241888">
        <w:rPr>
          <w:rFonts w:ascii="Arial" w:hAnsi="Arial" w:cs="Arial"/>
          <w:sz w:val="22"/>
          <w:szCs w:val="22"/>
        </w:rPr>
        <w:t xml:space="preserve"> – Can and should infrastructure be used to stimulate growth and development or open up opportunities in disadvantaged areas? How can we mainstream green infrastructure?</w:t>
      </w:r>
    </w:p>
    <w:p w:rsidR="00BD53A8" w:rsidRPr="00241888" w:rsidRDefault="00241888" w:rsidP="00BD53A8">
      <w:pPr>
        <w:pStyle w:val="NormalWeb"/>
        <w:rPr>
          <w:rFonts w:ascii="Arial" w:hAnsi="Arial" w:cs="Arial"/>
          <w:sz w:val="22"/>
          <w:szCs w:val="22"/>
        </w:rPr>
      </w:pPr>
      <w:r w:rsidRPr="00241888">
        <w:rPr>
          <w:rFonts w:ascii="Arial" w:hAnsi="Arial" w:cs="Arial"/>
          <w:sz w:val="22"/>
          <w:szCs w:val="22"/>
        </w:rPr>
        <w:t>The</w:t>
      </w:r>
      <w:r w:rsidR="00BD53A8" w:rsidRPr="00241888">
        <w:rPr>
          <w:rFonts w:ascii="Arial" w:hAnsi="Arial" w:cs="Arial"/>
          <w:sz w:val="22"/>
          <w:szCs w:val="22"/>
        </w:rPr>
        <w:t xml:space="preserve"> debate provide</w:t>
      </w:r>
      <w:r w:rsidRPr="00241888">
        <w:rPr>
          <w:rFonts w:ascii="Arial" w:hAnsi="Arial" w:cs="Arial"/>
          <w:sz w:val="22"/>
          <w:szCs w:val="22"/>
        </w:rPr>
        <w:t>d</w:t>
      </w:r>
      <w:r w:rsidR="00BD53A8" w:rsidRPr="00241888">
        <w:rPr>
          <w:rFonts w:ascii="Arial" w:hAnsi="Arial" w:cs="Arial"/>
          <w:sz w:val="22"/>
          <w:szCs w:val="22"/>
        </w:rPr>
        <w:t xml:space="preserve"> a number of different perspectives on these issues and allow</w:t>
      </w:r>
      <w:r w:rsidRPr="00241888">
        <w:rPr>
          <w:rFonts w:ascii="Arial" w:hAnsi="Arial" w:cs="Arial"/>
          <w:sz w:val="22"/>
          <w:szCs w:val="22"/>
        </w:rPr>
        <w:t>ed</w:t>
      </w:r>
      <w:r w:rsidR="00BD53A8" w:rsidRPr="00241888">
        <w:rPr>
          <w:rFonts w:ascii="Arial" w:hAnsi="Arial" w:cs="Arial"/>
          <w:sz w:val="22"/>
          <w:szCs w:val="22"/>
        </w:rPr>
        <w:t xml:space="preserve"> delegates to take part in a passionate and enlightening discussion.</w:t>
      </w:r>
    </w:p>
    <w:p w:rsidR="00BD53A8" w:rsidRPr="00241888" w:rsidRDefault="00BD53A8" w:rsidP="00BD53A8">
      <w:pPr>
        <w:pStyle w:val="NormalWeb"/>
        <w:rPr>
          <w:rFonts w:ascii="Arial" w:hAnsi="Arial" w:cs="Arial"/>
          <w:sz w:val="22"/>
          <w:szCs w:val="22"/>
        </w:rPr>
      </w:pPr>
      <w:r w:rsidRPr="00241888">
        <w:rPr>
          <w:rStyle w:val="Strong"/>
          <w:rFonts w:ascii="Arial" w:hAnsi="Arial" w:cs="Arial"/>
          <w:sz w:val="22"/>
          <w:szCs w:val="22"/>
        </w:rPr>
        <w:t>Programme</w:t>
      </w:r>
      <w:bookmarkStart w:id="0" w:name="_GoBack"/>
      <w:bookmarkEnd w:id="0"/>
      <w:r w:rsidRPr="00241888">
        <w:rPr>
          <w:rFonts w:ascii="Arial" w:hAnsi="Arial" w:cs="Arial"/>
          <w:sz w:val="22"/>
          <w:szCs w:val="22"/>
        </w:rPr>
        <w:br/>
        <w:t>Speakers setting out their views on what can and should be done include</w:t>
      </w:r>
      <w:r w:rsidR="00241888" w:rsidRPr="00241888">
        <w:rPr>
          <w:rFonts w:ascii="Arial" w:hAnsi="Arial" w:cs="Arial"/>
          <w:sz w:val="22"/>
          <w:szCs w:val="22"/>
        </w:rPr>
        <w:t>d</w:t>
      </w:r>
      <w:r w:rsidRPr="00241888">
        <w:rPr>
          <w:rFonts w:ascii="Arial" w:hAnsi="Arial" w:cs="Arial"/>
          <w:sz w:val="22"/>
          <w:szCs w:val="22"/>
        </w:rPr>
        <w:t>:</w:t>
      </w:r>
    </w:p>
    <w:p w:rsidR="00BD53A8" w:rsidRPr="00241888" w:rsidRDefault="00BD53A8" w:rsidP="00BD53A8">
      <w:pPr>
        <w:pStyle w:val="NormalWeb"/>
        <w:rPr>
          <w:rFonts w:ascii="Arial" w:hAnsi="Arial" w:cs="Arial"/>
          <w:sz w:val="22"/>
          <w:szCs w:val="22"/>
        </w:rPr>
      </w:pPr>
      <w:r w:rsidRPr="00241888">
        <w:rPr>
          <w:rFonts w:ascii="Arial" w:hAnsi="Arial" w:cs="Arial"/>
          <w:sz w:val="22"/>
          <w:szCs w:val="22"/>
        </w:rPr>
        <w:t xml:space="preserve">• Katherine McIntosh, Head of Regeneration, </w:t>
      </w:r>
      <w:proofErr w:type="spellStart"/>
      <w:r w:rsidRPr="00241888">
        <w:rPr>
          <w:rFonts w:ascii="Arial" w:hAnsi="Arial" w:cs="Arial"/>
          <w:sz w:val="22"/>
          <w:szCs w:val="22"/>
        </w:rPr>
        <w:t>Robertsons</w:t>
      </w:r>
      <w:proofErr w:type="spellEnd"/>
      <w:r w:rsidRPr="00241888">
        <w:rPr>
          <w:rFonts w:ascii="Arial" w:hAnsi="Arial" w:cs="Arial"/>
          <w:sz w:val="22"/>
          <w:szCs w:val="22"/>
        </w:rPr>
        <w:br/>
        <w:t>• Nicola Barclay, Chief Executive, Homes for Scotland</w:t>
      </w:r>
      <w:r w:rsidRPr="00241888">
        <w:rPr>
          <w:rFonts w:ascii="Arial" w:hAnsi="Arial" w:cs="Arial"/>
          <w:sz w:val="22"/>
          <w:szCs w:val="22"/>
        </w:rPr>
        <w:br/>
        <w:t>• Susan Aitken, Leader, Glasgow City Council</w:t>
      </w:r>
      <w:r w:rsidRPr="00241888">
        <w:rPr>
          <w:rFonts w:ascii="Arial" w:hAnsi="Arial" w:cs="Arial"/>
          <w:sz w:val="22"/>
          <w:szCs w:val="22"/>
        </w:rPr>
        <w:br/>
        <w:t>• Martin Valenti, Scottish Enterprise</w:t>
      </w:r>
      <w:r w:rsidRPr="00241888">
        <w:rPr>
          <w:rFonts w:ascii="Arial" w:hAnsi="Arial" w:cs="Arial"/>
          <w:sz w:val="22"/>
          <w:szCs w:val="22"/>
        </w:rPr>
        <w:br/>
        <w:t>• Ross Martin, Adviser to Scottish Government on Regional Growth</w:t>
      </w:r>
    </w:p>
    <w:p w:rsidR="00BD53A8" w:rsidRDefault="00241888" w:rsidP="00BD53A8">
      <w:pPr>
        <w:pStyle w:val="NormalWeb"/>
      </w:pPr>
      <w:r w:rsidRPr="00241888">
        <w:rPr>
          <w:rFonts w:ascii="Arial" w:hAnsi="Arial" w:cs="Arial"/>
          <w:sz w:val="22"/>
          <w:szCs w:val="22"/>
        </w:rPr>
        <w:t>Thi</w:t>
      </w:r>
      <w:r w:rsidR="00BD53A8" w:rsidRPr="00241888">
        <w:rPr>
          <w:rFonts w:ascii="Arial" w:hAnsi="Arial" w:cs="Arial"/>
          <w:sz w:val="22"/>
          <w:szCs w:val="22"/>
        </w:rPr>
        <w:t xml:space="preserve">s event </w:t>
      </w:r>
      <w:r w:rsidRPr="00241888">
        <w:rPr>
          <w:rFonts w:ascii="Arial" w:hAnsi="Arial" w:cs="Arial"/>
          <w:sz w:val="22"/>
          <w:szCs w:val="22"/>
        </w:rPr>
        <w:t>wa</w:t>
      </w:r>
      <w:r w:rsidR="00BD53A8" w:rsidRPr="00241888">
        <w:rPr>
          <w:rFonts w:ascii="Arial" w:hAnsi="Arial" w:cs="Arial"/>
          <w:sz w:val="22"/>
          <w:szCs w:val="22"/>
        </w:rPr>
        <w:t xml:space="preserve">s free to attend and </w:t>
      </w:r>
      <w:r w:rsidRPr="00241888">
        <w:rPr>
          <w:rFonts w:ascii="Arial" w:hAnsi="Arial" w:cs="Arial"/>
          <w:sz w:val="22"/>
          <w:szCs w:val="22"/>
        </w:rPr>
        <w:t>wa</w:t>
      </w:r>
      <w:r w:rsidR="00BD53A8" w:rsidRPr="00241888">
        <w:rPr>
          <w:rFonts w:ascii="Arial" w:hAnsi="Arial" w:cs="Arial"/>
          <w:sz w:val="22"/>
          <w:szCs w:val="22"/>
        </w:rPr>
        <w:t xml:space="preserve">s wholly sponsored by </w:t>
      </w:r>
      <w:proofErr w:type="spellStart"/>
      <w:r w:rsidR="00BD53A8" w:rsidRPr="00241888">
        <w:rPr>
          <w:rFonts w:ascii="Arial" w:hAnsi="Arial" w:cs="Arial"/>
          <w:sz w:val="22"/>
          <w:szCs w:val="22"/>
        </w:rPr>
        <w:t>Addleshaw</w:t>
      </w:r>
      <w:proofErr w:type="spellEnd"/>
      <w:r w:rsidR="00BD53A8" w:rsidRPr="00241888">
        <w:rPr>
          <w:rFonts w:ascii="Arial" w:hAnsi="Arial" w:cs="Arial"/>
          <w:sz w:val="22"/>
          <w:szCs w:val="22"/>
        </w:rPr>
        <w:t xml:space="preserve"> Goddard</w:t>
      </w:r>
      <w:r w:rsidR="00BD53A8">
        <w:t>.</w:t>
      </w:r>
    </w:p>
    <w:p w:rsidR="00CF7F05" w:rsidRDefault="00CF7F05"/>
    <w:p w:rsidR="00CF7F05" w:rsidRDefault="00CF7F05"/>
    <w:sectPr w:rsidR="00CF7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05"/>
    <w:rsid w:val="00241888"/>
    <w:rsid w:val="00BD53A8"/>
    <w:rsid w:val="00CF7F05"/>
    <w:rsid w:val="00D82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AC1C"/>
  <w15:chartTrackingRefBased/>
  <w15:docId w15:val="{125DD418-7B5D-436A-B309-6F6A27F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3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5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24ED57EF</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Stansfield</dc:creator>
  <cp:keywords/>
  <dc:description/>
  <cp:lastModifiedBy>Jennie Stansfield</cp:lastModifiedBy>
  <cp:revision>2</cp:revision>
  <dcterms:created xsi:type="dcterms:W3CDTF">2020-02-04T16:05:00Z</dcterms:created>
  <dcterms:modified xsi:type="dcterms:W3CDTF">2020-02-04T16:05:00Z</dcterms:modified>
</cp:coreProperties>
</file>